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B8ECD" w14:textId="77777777" w:rsidR="0047501B" w:rsidRPr="005B082C" w:rsidRDefault="0047501B" w:rsidP="0047501B">
      <w:pPr>
        <w:autoSpaceDE w:val="0"/>
        <w:autoSpaceDN w:val="0"/>
        <w:adjustRightInd w:val="0"/>
        <w:ind w:left="709"/>
        <w:rPr>
          <w:rFonts w:cs="Times New Roman"/>
          <w:b/>
          <w:bCs/>
          <w:color w:val="000000"/>
          <w:sz w:val="40"/>
          <w:szCs w:val="40"/>
        </w:rPr>
      </w:pPr>
      <w:r>
        <w:rPr>
          <w:noProof/>
          <w:lang w:eastAsia="hr-HR"/>
        </w:rPr>
        <w:drawing>
          <wp:anchor distT="0" distB="0" distL="114300" distR="114300" simplePos="0" relativeHeight="251659264" behindDoc="0" locked="0" layoutInCell="1" allowOverlap="1" wp14:anchorId="0EB7D5B7" wp14:editId="3D8E79D7">
            <wp:simplePos x="0" y="0"/>
            <wp:positionH relativeFrom="column">
              <wp:posOffset>-757555</wp:posOffset>
            </wp:positionH>
            <wp:positionV relativeFrom="paragraph">
              <wp:posOffset>-746125</wp:posOffset>
            </wp:positionV>
            <wp:extent cx="1022985" cy="10363835"/>
            <wp:effectExtent l="0" t="0" r="5715" b="0"/>
            <wp:wrapNone/>
            <wp:docPr id="4" name="Picture 4" descr="tr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ka"/>
                    <pic:cNvPicPr>
                      <a:picLocks noChangeAspect="1" noChangeArrowheads="1"/>
                    </pic:cNvPicPr>
                  </pic:nvPicPr>
                  <pic:blipFill>
                    <a:blip r:embed="rId8">
                      <a:extLst>
                        <a:ext uri="{28A0092B-C50C-407E-A947-70E740481C1C}">
                          <a14:useLocalDpi xmlns:a14="http://schemas.microsoft.com/office/drawing/2010/main" val="0"/>
                        </a:ext>
                      </a:extLst>
                    </a:blip>
                    <a:srcRect r="12825"/>
                    <a:stretch>
                      <a:fillRect/>
                    </a:stretch>
                  </pic:blipFill>
                  <pic:spPr bwMode="auto">
                    <a:xfrm>
                      <a:off x="0" y="0"/>
                      <a:ext cx="1022985" cy="1036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7B8" w:rsidRPr="00B13B01">
        <w:rPr>
          <w:rFonts w:cs="Arial"/>
          <w:noProof/>
        </w:rPr>
        <w:drawing>
          <wp:inline distT="0" distB="0" distL="0" distR="0" wp14:anchorId="1DE4F4F7" wp14:editId="7396629F">
            <wp:extent cx="21621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p w14:paraId="0BE2211F" w14:textId="77777777" w:rsidR="0047501B" w:rsidRPr="005B082C" w:rsidRDefault="0047501B" w:rsidP="0047501B">
      <w:pPr>
        <w:autoSpaceDE w:val="0"/>
        <w:autoSpaceDN w:val="0"/>
        <w:adjustRightInd w:val="0"/>
        <w:ind w:left="709"/>
        <w:jc w:val="center"/>
        <w:rPr>
          <w:rFonts w:cs="Times New Roman"/>
          <w:b/>
          <w:bCs/>
          <w:color w:val="000000"/>
          <w:sz w:val="40"/>
          <w:szCs w:val="40"/>
        </w:rPr>
      </w:pPr>
    </w:p>
    <w:p w14:paraId="7D1D6325" w14:textId="77777777" w:rsidR="0047501B" w:rsidRPr="005B082C" w:rsidRDefault="0047501B" w:rsidP="0047501B">
      <w:pPr>
        <w:autoSpaceDE w:val="0"/>
        <w:autoSpaceDN w:val="0"/>
        <w:adjustRightInd w:val="0"/>
        <w:ind w:left="709"/>
        <w:jc w:val="center"/>
        <w:rPr>
          <w:rFonts w:cs="Times New Roman"/>
          <w:b/>
          <w:bCs/>
          <w:color w:val="000000"/>
          <w:sz w:val="40"/>
          <w:szCs w:val="40"/>
        </w:rPr>
      </w:pPr>
    </w:p>
    <w:p w14:paraId="6B718E2E" w14:textId="77777777" w:rsidR="0047501B" w:rsidRPr="005B082C" w:rsidRDefault="0047501B" w:rsidP="0047501B">
      <w:pPr>
        <w:autoSpaceDE w:val="0"/>
        <w:autoSpaceDN w:val="0"/>
        <w:adjustRightInd w:val="0"/>
        <w:ind w:left="709"/>
        <w:jc w:val="center"/>
        <w:rPr>
          <w:rFonts w:cs="Times New Roman"/>
          <w:b/>
          <w:bCs/>
          <w:color w:val="000000"/>
          <w:sz w:val="40"/>
          <w:szCs w:val="40"/>
        </w:rPr>
      </w:pPr>
    </w:p>
    <w:p w14:paraId="7E6871C5" w14:textId="77777777" w:rsidR="0047501B" w:rsidRPr="005B082C" w:rsidRDefault="0047501B" w:rsidP="0047501B">
      <w:pPr>
        <w:autoSpaceDE w:val="0"/>
        <w:autoSpaceDN w:val="0"/>
        <w:adjustRightInd w:val="0"/>
        <w:ind w:left="709"/>
        <w:jc w:val="center"/>
        <w:rPr>
          <w:rFonts w:cs="Times New Roman"/>
          <w:b/>
          <w:bCs/>
          <w:color w:val="000000"/>
          <w:sz w:val="40"/>
          <w:szCs w:val="40"/>
        </w:rPr>
      </w:pPr>
    </w:p>
    <w:p w14:paraId="07E18489" w14:textId="77777777" w:rsidR="0047501B" w:rsidRPr="005B082C" w:rsidRDefault="0047501B" w:rsidP="0047501B">
      <w:pPr>
        <w:autoSpaceDE w:val="0"/>
        <w:autoSpaceDN w:val="0"/>
        <w:adjustRightInd w:val="0"/>
        <w:ind w:left="709"/>
        <w:jc w:val="center"/>
        <w:rPr>
          <w:rFonts w:cs="Times New Roman"/>
          <w:b/>
          <w:bCs/>
          <w:color w:val="000000"/>
          <w:sz w:val="40"/>
          <w:szCs w:val="40"/>
        </w:rPr>
      </w:pPr>
    </w:p>
    <w:p w14:paraId="19BC1FCD" w14:textId="77777777" w:rsidR="0074551F" w:rsidRPr="00C05E28" w:rsidRDefault="0074551F" w:rsidP="0074551F">
      <w:pPr>
        <w:pStyle w:val="Naslov"/>
        <w:ind w:left="709"/>
        <w:rPr>
          <w:lang w:val="en-GB"/>
        </w:rPr>
      </w:pPr>
      <w:r w:rsidRPr="00C05E28">
        <w:rPr>
          <w:lang w:val="en-GB"/>
        </w:rPr>
        <w:t xml:space="preserve">Programme for Quota </w:t>
      </w:r>
      <w:r>
        <w:rPr>
          <w:lang w:val="en-GB"/>
        </w:rPr>
        <w:t xml:space="preserve">Share </w:t>
      </w:r>
      <w:r w:rsidRPr="00C05E28">
        <w:rPr>
          <w:lang w:val="en-GB"/>
        </w:rPr>
        <w:t>Reinsurance of</w:t>
      </w:r>
    </w:p>
    <w:p w14:paraId="611CB3F8" w14:textId="77777777" w:rsidR="0074551F" w:rsidRPr="00C05E28" w:rsidRDefault="0074551F" w:rsidP="0074551F">
      <w:pPr>
        <w:pStyle w:val="Naslov"/>
        <w:ind w:left="709"/>
        <w:rPr>
          <w:lang w:val="en-GB"/>
        </w:rPr>
      </w:pPr>
      <w:r w:rsidRPr="00C05E28">
        <w:rPr>
          <w:lang w:val="en-GB"/>
        </w:rPr>
        <w:t>Short-Term Export Receivables</w:t>
      </w:r>
    </w:p>
    <w:p w14:paraId="25310949" w14:textId="77777777" w:rsidR="0074551F" w:rsidRPr="00C05E28" w:rsidRDefault="0074551F" w:rsidP="0074551F">
      <w:pPr>
        <w:rPr>
          <w:lang w:val="en-GB"/>
        </w:rPr>
      </w:pPr>
    </w:p>
    <w:p w14:paraId="653E0757" w14:textId="77777777" w:rsidR="0074551F" w:rsidRPr="00C05E28" w:rsidRDefault="0074551F" w:rsidP="0074551F">
      <w:pPr>
        <w:pStyle w:val="Naslov"/>
        <w:ind w:left="709"/>
        <w:rPr>
          <w:lang w:val="en-GB"/>
        </w:rPr>
      </w:pPr>
      <w:r w:rsidRPr="00C05E28">
        <w:rPr>
          <w:lang w:val="en-GB"/>
        </w:rPr>
        <w:t>RE-IP/01-18</w:t>
      </w:r>
    </w:p>
    <w:p w14:paraId="1C96DCA0" w14:textId="77777777" w:rsidR="00C777B8" w:rsidRDefault="00C777B8" w:rsidP="000D7A12"/>
    <w:p w14:paraId="629AB087" w14:textId="77777777" w:rsidR="0047501B" w:rsidRPr="004B40A9" w:rsidRDefault="0047501B" w:rsidP="000D7A12">
      <w:pPr>
        <w:jc w:val="center"/>
      </w:pPr>
    </w:p>
    <w:p w14:paraId="6373130B" w14:textId="77777777" w:rsidR="0047501B" w:rsidRPr="002B3D0B" w:rsidRDefault="0047501B" w:rsidP="0047501B"/>
    <w:p w14:paraId="50AE6B55" w14:textId="77777777" w:rsidR="0047501B" w:rsidRPr="005B082C" w:rsidRDefault="0047501B" w:rsidP="0047501B">
      <w:pPr>
        <w:autoSpaceDE w:val="0"/>
        <w:autoSpaceDN w:val="0"/>
        <w:adjustRightInd w:val="0"/>
        <w:ind w:left="709"/>
        <w:rPr>
          <w:rFonts w:cs="Times New Roman"/>
          <w:b/>
          <w:bCs/>
          <w:color w:val="000000"/>
          <w:szCs w:val="20"/>
        </w:rPr>
      </w:pPr>
    </w:p>
    <w:p w14:paraId="4E5869A7" w14:textId="77777777" w:rsidR="0047501B" w:rsidRPr="005B082C" w:rsidRDefault="0047501B" w:rsidP="0047501B">
      <w:pPr>
        <w:autoSpaceDE w:val="0"/>
        <w:autoSpaceDN w:val="0"/>
        <w:adjustRightInd w:val="0"/>
        <w:ind w:left="709"/>
        <w:rPr>
          <w:rFonts w:cs="Times New Roman"/>
          <w:b/>
          <w:bCs/>
          <w:color w:val="000000"/>
          <w:szCs w:val="20"/>
        </w:rPr>
      </w:pPr>
    </w:p>
    <w:p w14:paraId="30DA1A57" w14:textId="77777777" w:rsidR="0047501B" w:rsidRPr="005B082C" w:rsidRDefault="0047501B" w:rsidP="0047501B">
      <w:pPr>
        <w:autoSpaceDE w:val="0"/>
        <w:autoSpaceDN w:val="0"/>
        <w:adjustRightInd w:val="0"/>
        <w:ind w:left="709"/>
        <w:rPr>
          <w:rFonts w:cs="Times New Roman"/>
          <w:b/>
          <w:bCs/>
          <w:color w:val="000000"/>
          <w:szCs w:val="20"/>
        </w:rPr>
      </w:pPr>
    </w:p>
    <w:p w14:paraId="3A3139F2" w14:textId="77777777" w:rsidR="0047501B" w:rsidRPr="005B082C" w:rsidRDefault="0047501B" w:rsidP="0047501B">
      <w:pPr>
        <w:autoSpaceDE w:val="0"/>
        <w:autoSpaceDN w:val="0"/>
        <w:adjustRightInd w:val="0"/>
        <w:ind w:left="709"/>
        <w:rPr>
          <w:rFonts w:cs="Times New Roman"/>
          <w:b/>
          <w:bCs/>
          <w:color w:val="000000"/>
          <w:szCs w:val="20"/>
        </w:rPr>
      </w:pPr>
    </w:p>
    <w:p w14:paraId="0D88D78D" w14:textId="77777777" w:rsidR="0047501B" w:rsidRPr="005B082C" w:rsidRDefault="0047501B" w:rsidP="0047501B">
      <w:pPr>
        <w:autoSpaceDE w:val="0"/>
        <w:autoSpaceDN w:val="0"/>
        <w:adjustRightInd w:val="0"/>
        <w:ind w:left="709"/>
        <w:rPr>
          <w:rFonts w:cs="Times New Roman"/>
          <w:b/>
          <w:bCs/>
          <w:color w:val="000000"/>
          <w:szCs w:val="20"/>
        </w:rPr>
      </w:pPr>
    </w:p>
    <w:p w14:paraId="55C1FF82" w14:textId="77777777" w:rsidR="0047501B" w:rsidRPr="005B082C" w:rsidRDefault="0047501B" w:rsidP="0047501B">
      <w:pPr>
        <w:autoSpaceDE w:val="0"/>
        <w:autoSpaceDN w:val="0"/>
        <w:adjustRightInd w:val="0"/>
        <w:ind w:left="709"/>
        <w:rPr>
          <w:rFonts w:cs="Times New Roman"/>
          <w:b/>
          <w:bCs/>
          <w:color w:val="000000"/>
          <w:szCs w:val="20"/>
        </w:rPr>
      </w:pPr>
    </w:p>
    <w:p w14:paraId="0E73FC6A" w14:textId="77777777" w:rsidR="0047501B" w:rsidRPr="005B082C" w:rsidRDefault="0047501B" w:rsidP="0047501B">
      <w:pPr>
        <w:autoSpaceDE w:val="0"/>
        <w:autoSpaceDN w:val="0"/>
        <w:adjustRightInd w:val="0"/>
        <w:rPr>
          <w:rFonts w:cs="Times New Roman"/>
          <w:b/>
          <w:bCs/>
          <w:color w:val="000000"/>
          <w:szCs w:val="20"/>
        </w:rPr>
      </w:pPr>
    </w:p>
    <w:p w14:paraId="12A72E5A" w14:textId="77777777" w:rsidR="0047501B" w:rsidRDefault="0047501B" w:rsidP="0047501B">
      <w:pPr>
        <w:spacing w:after="0" w:line="276" w:lineRule="auto"/>
        <w:rPr>
          <w:rFonts w:ascii="Calibri" w:hAnsi="Calibri" w:cs="Times New Roman"/>
          <w:b/>
          <w:bCs/>
          <w:color w:val="000000"/>
          <w:sz w:val="22"/>
          <w:szCs w:val="24"/>
        </w:rPr>
      </w:pPr>
      <w:r>
        <w:br w:type="page"/>
      </w:r>
    </w:p>
    <w:p w14:paraId="32A9DCE2" w14:textId="77777777" w:rsidR="0047501B" w:rsidRDefault="0047501B" w:rsidP="0047501B">
      <w:pPr>
        <w:pStyle w:val="Istaknuto1"/>
        <w:sectPr w:rsidR="0047501B" w:rsidSect="00C05F2F">
          <w:footerReference w:type="default" r:id="rId10"/>
          <w:footerReference w:type="first" r:id="rId11"/>
          <w:pgSz w:w="11906" w:h="16838"/>
          <w:pgMar w:top="1418" w:right="1134" w:bottom="1701" w:left="1134" w:header="709" w:footer="709" w:gutter="170"/>
          <w:cols w:space="708"/>
          <w:titlePg/>
          <w:docGrid w:linePitch="360"/>
        </w:sectPr>
      </w:pPr>
    </w:p>
    <w:p w14:paraId="5FBAA2C6" w14:textId="77777777" w:rsidR="0074551F" w:rsidRPr="00264960" w:rsidRDefault="0074551F" w:rsidP="0074551F">
      <w:pPr>
        <w:jc w:val="center"/>
        <w:rPr>
          <w:b/>
          <w:sz w:val="24"/>
          <w:szCs w:val="24"/>
          <w:lang w:val="en-GB"/>
        </w:rPr>
      </w:pPr>
      <w:r w:rsidRPr="00264960">
        <w:rPr>
          <w:b/>
          <w:sz w:val="24"/>
          <w:szCs w:val="24"/>
          <w:lang w:val="en-GB"/>
        </w:rPr>
        <w:lastRenderedPageBreak/>
        <w:t>PROGRAMME FOR QUOTA SHARE REINSURANCE OF SHORT-TERM EXPORT RECEIVABLES</w:t>
      </w:r>
    </w:p>
    <w:p w14:paraId="16036458" w14:textId="77777777" w:rsidR="0074551F" w:rsidRPr="00264960" w:rsidRDefault="0074551F" w:rsidP="0074551F">
      <w:pPr>
        <w:jc w:val="center"/>
        <w:rPr>
          <w:b/>
          <w:sz w:val="24"/>
          <w:szCs w:val="24"/>
          <w:lang w:val="en-GB"/>
        </w:rPr>
      </w:pPr>
      <w:r w:rsidRPr="00264960">
        <w:rPr>
          <w:b/>
          <w:sz w:val="24"/>
          <w:szCs w:val="24"/>
          <w:lang w:val="en-GB"/>
        </w:rPr>
        <w:t>RE-IP/01-18</w:t>
      </w:r>
    </w:p>
    <w:p w14:paraId="1B2D325A" w14:textId="13E43BC7" w:rsidR="0074551F" w:rsidRPr="00264960" w:rsidRDefault="0074551F" w:rsidP="0074551F">
      <w:pPr>
        <w:spacing w:after="0" w:line="240" w:lineRule="atLeast"/>
        <w:rPr>
          <w:bCs/>
          <w:lang w:val="en-GB"/>
        </w:rPr>
      </w:pPr>
      <w:r w:rsidRPr="00264960">
        <w:rPr>
          <w:bCs/>
          <w:lang w:val="en-GB"/>
        </w:rPr>
        <w:t xml:space="preserve">HBOR as </w:t>
      </w:r>
      <w:r>
        <w:rPr>
          <w:bCs/>
          <w:lang w:val="en-GB"/>
        </w:rPr>
        <w:t xml:space="preserve">the </w:t>
      </w:r>
      <w:r w:rsidRPr="00264960">
        <w:rPr>
          <w:bCs/>
          <w:lang w:val="en-GB"/>
        </w:rPr>
        <w:t>insurer for and on behalf of the Republic of Croatia under existing export credit insurance programmes offers also the Programme for Quota Share Reinsurance of Short-Term Export Receivables against non-market</w:t>
      </w:r>
      <w:r w:rsidRPr="00264960">
        <w:rPr>
          <w:rStyle w:val="Referencafusnote"/>
          <w:bCs/>
          <w:lang w:val="en-GB"/>
        </w:rPr>
        <w:footnoteReference w:id="1"/>
      </w:r>
      <w:r w:rsidRPr="00264960">
        <w:rPr>
          <w:bCs/>
          <w:lang w:val="en-GB"/>
        </w:rPr>
        <w:t xml:space="preserve"> and </w:t>
      </w:r>
      <w:bookmarkStart w:id="0" w:name="_Hlk529972563"/>
      <w:r w:rsidRPr="00264960">
        <w:rPr>
          <w:bCs/>
          <w:lang w:val="en-GB"/>
        </w:rPr>
        <w:t>temporarily non-market</w:t>
      </w:r>
      <w:bookmarkEnd w:id="0"/>
      <w:r w:rsidRPr="00264960">
        <w:rPr>
          <w:rStyle w:val="Referencafusnote"/>
          <w:bCs/>
          <w:lang w:val="en-GB"/>
        </w:rPr>
        <w:footnoteReference w:id="2"/>
      </w:r>
      <w:r w:rsidRPr="00264960">
        <w:rPr>
          <w:bCs/>
          <w:lang w:val="en-GB"/>
        </w:rPr>
        <w:t xml:space="preserve"> commercial and political risks as a measure of export promotion.</w:t>
      </w:r>
    </w:p>
    <w:p w14:paraId="2FF16AE2" w14:textId="77777777" w:rsidR="0074551F" w:rsidRPr="00264960" w:rsidRDefault="0074551F" w:rsidP="0074551F">
      <w:pPr>
        <w:spacing w:after="0" w:line="240" w:lineRule="atLeast"/>
        <w:rPr>
          <w:bCs/>
          <w:lang w:val="en-GB"/>
        </w:rPr>
      </w:pPr>
    </w:p>
    <w:p w14:paraId="5B9E1ED1" w14:textId="77777777" w:rsidR="0074551F" w:rsidRPr="00264960" w:rsidRDefault="0074551F" w:rsidP="0074551F">
      <w:pPr>
        <w:spacing w:after="0" w:line="240" w:lineRule="atLeast"/>
        <w:rPr>
          <w:bCs/>
          <w:lang w:val="en-GB"/>
        </w:rPr>
      </w:pPr>
      <w:r w:rsidRPr="00264960">
        <w:rPr>
          <w:bCs/>
          <w:lang w:val="en-GB"/>
        </w:rPr>
        <w:t xml:space="preserve">The Programme for Quota Share Reinsurance of Short-Term Export Receivables (hereinafter: the Quota Share Reinsurance Programme) is intended for insurance companies that perform export credit insurance activities in the market of the Republic of Croatia. Quota share reinsurance is a type of proportional reinsurance under which a quota </w:t>
      </w:r>
      <w:r>
        <w:rPr>
          <w:bCs/>
          <w:lang w:val="en-GB"/>
        </w:rPr>
        <w:t xml:space="preserve">share </w:t>
      </w:r>
      <w:r w:rsidRPr="00264960">
        <w:rPr>
          <w:bCs/>
          <w:lang w:val="en-GB"/>
        </w:rPr>
        <w:t xml:space="preserve">expressed as percentage of every risk </w:t>
      </w:r>
      <w:r>
        <w:rPr>
          <w:bCs/>
          <w:lang w:val="en-GB"/>
        </w:rPr>
        <w:t xml:space="preserve">from </w:t>
      </w:r>
      <w:r w:rsidRPr="00264960">
        <w:rPr>
          <w:bCs/>
          <w:lang w:val="en-GB"/>
        </w:rPr>
        <w:t>the insurer’s portfolio is transferred to HBOR for reinsurance. Under the Quota Share Reinsurance Programme, it is possible to conclude variable quota share reinsurance where various reinsurance quota</w:t>
      </w:r>
      <w:r>
        <w:rPr>
          <w:bCs/>
          <w:lang w:val="en-GB"/>
        </w:rPr>
        <w:t xml:space="preserve"> share</w:t>
      </w:r>
      <w:r w:rsidRPr="00264960">
        <w:rPr>
          <w:bCs/>
          <w:lang w:val="en-GB"/>
        </w:rPr>
        <w:t>s are contracted for various levels of reinsured amounts</w:t>
      </w:r>
      <w:r>
        <w:rPr>
          <w:bCs/>
          <w:lang w:val="en-GB"/>
        </w:rPr>
        <w:t xml:space="preserve"> for foreign buyers</w:t>
      </w:r>
      <w:r w:rsidRPr="00264960">
        <w:rPr>
          <w:bCs/>
          <w:lang w:val="en-GB"/>
        </w:rPr>
        <w:t>.</w:t>
      </w:r>
    </w:p>
    <w:p w14:paraId="5C11130A" w14:textId="77777777" w:rsidR="0074551F" w:rsidRPr="00264960" w:rsidRDefault="0074551F" w:rsidP="0074551F">
      <w:pPr>
        <w:spacing w:after="0" w:line="240" w:lineRule="atLeast"/>
        <w:rPr>
          <w:bCs/>
          <w:lang w:val="en-GB"/>
        </w:rPr>
      </w:pPr>
    </w:p>
    <w:p w14:paraId="16143BAE" w14:textId="77777777" w:rsidR="0074551F" w:rsidRPr="00264960" w:rsidRDefault="0074551F" w:rsidP="0074551F">
      <w:pPr>
        <w:spacing w:after="0" w:line="240" w:lineRule="atLeast"/>
        <w:rPr>
          <w:rFonts w:ascii="Calibri" w:hAnsi="Calibri" w:cs="Tahoma"/>
          <w:szCs w:val="20"/>
          <w:lang w:val="en-GB"/>
        </w:rPr>
      </w:pPr>
      <w:r w:rsidRPr="00264960">
        <w:rPr>
          <w:rFonts w:ascii="Calibri" w:hAnsi="Calibri" w:cs="Tahoma"/>
          <w:szCs w:val="20"/>
          <w:lang w:val="en-GB"/>
        </w:rPr>
        <w:t xml:space="preserve">The right to reinsurance does not exist automatically; HBOR makes a separate decision on each application to </w:t>
      </w:r>
      <w:proofErr w:type="gramStart"/>
      <w:r w:rsidRPr="00264960">
        <w:rPr>
          <w:rFonts w:ascii="Calibri" w:hAnsi="Calibri" w:cs="Tahoma"/>
          <w:szCs w:val="20"/>
          <w:lang w:val="en-GB"/>
        </w:rPr>
        <w:t>enter into</w:t>
      </w:r>
      <w:proofErr w:type="gramEnd"/>
      <w:r w:rsidRPr="00264960">
        <w:rPr>
          <w:rFonts w:ascii="Calibri" w:hAnsi="Calibri" w:cs="Tahoma"/>
          <w:szCs w:val="20"/>
          <w:lang w:val="en-GB"/>
        </w:rPr>
        <w:t xml:space="preserve"> a reinsurance contract.</w:t>
      </w:r>
    </w:p>
    <w:p w14:paraId="21423BE8" w14:textId="77777777" w:rsidR="0074551F" w:rsidRPr="00264960" w:rsidRDefault="0074551F" w:rsidP="0074551F">
      <w:pPr>
        <w:spacing w:after="0" w:line="240" w:lineRule="atLeast"/>
        <w:rPr>
          <w:bCs/>
          <w:lang w:val="en-GB"/>
        </w:rPr>
      </w:pPr>
    </w:p>
    <w:p w14:paraId="050107E1" w14:textId="77777777" w:rsidR="0074551F" w:rsidRPr="00264960" w:rsidRDefault="0074551F" w:rsidP="0074551F">
      <w:pPr>
        <w:pStyle w:val="Odlomakpopisa"/>
        <w:numPr>
          <w:ilvl w:val="0"/>
          <w:numId w:val="12"/>
        </w:numPr>
        <w:autoSpaceDE w:val="0"/>
        <w:autoSpaceDN w:val="0"/>
        <w:adjustRightInd w:val="0"/>
        <w:rPr>
          <w:b/>
          <w:lang w:val="en-GB"/>
        </w:rPr>
      </w:pPr>
      <w:r w:rsidRPr="00264960">
        <w:rPr>
          <w:b/>
          <w:bCs/>
          <w:lang w:val="en-GB"/>
        </w:rPr>
        <w:t>Goal of the Quota Share Reinsurance Programme</w:t>
      </w:r>
    </w:p>
    <w:p w14:paraId="1397F8FD" w14:textId="77777777" w:rsidR="0074551F" w:rsidRPr="00264960" w:rsidRDefault="0074551F" w:rsidP="0074551F">
      <w:pPr>
        <w:numPr>
          <w:ilvl w:val="0"/>
          <w:numId w:val="16"/>
        </w:numPr>
        <w:spacing w:after="0" w:line="240" w:lineRule="atLeast"/>
        <w:ind w:left="709" w:hanging="283"/>
        <w:rPr>
          <w:bCs/>
          <w:lang w:val="en-GB"/>
        </w:rPr>
      </w:pPr>
      <w:r w:rsidRPr="00264960">
        <w:rPr>
          <w:bCs/>
          <w:lang w:val="en-GB"/>
        </w:rPr>
        <w:t>The sharing of risk between HBOR and insurance companies that offer insurance of short-term export receivables in the market of the Republic of Croatia shall enable exporters to contract insurance for all foreign buyers (regardless of the country) in a single place.</w:t>
      </w:r>
    </w:p>
    <w:p w14:paraId="4837C8DE" w14:textId="77777777" w:rsidR="0074551F" w:rsidRPr="00264960" w:rsidRDefault="0074551F" w:rsidP="0074551F">
      <w:pPr>
        <w:numPr>
          <w:ilvl w:val="0"/>
          <w:numId w:val="16"/>
        </w:numPr>
        <w:spacing w:after="0" w:line="240" w:lineRule="atLeast"/>
        <w:ind w:left="709" w:hanging="283"/>
        <w:rPr>
          <w:bCs/>
          <w:lang w:val="en-GB"/>
        </w:rPr>
      </w:pPr>
      <w:r w:rsidRPr="00264960">
        <w:rPr>
          <w:bCs/>
          <w:lang w:val="en-GB"/>
        </w:rPr>
        <w:t>Promoting exports, maintaining existing and creating new jobs in the Republic of Croatia as well as strengthening competitiveness of the national economy.</w:t>
      </w:r>
    </w:p>
    <w:p w14:paraId="1F21C704" w14:textId="77777777" w:rsidR="0074551F" w:rsidRPr="00264960" w:rsidRDefault="0074551F" w:rsidP="0074551F">
      <w:pPr>
        <w:pStyle w:val="Odlomakpopisa"/>
        <w:spacing w:after="0" w:line="240" w:lineRule="atLeast"/>
        <w:ind w:left="709" w:hanging="283"/>
        <w:rPr>
          <w:bCs/>
          <w:lang w:val="en-GB"/>
        </w:rPr>
      </w:pPr>
    </w:p>
    <w:p w14:paraId="6DDC9A2D" w14:textId="77777777" w:rsidR="0074551F" w:rsidRPr="00264960" w:rsidRDefault="0074551F" w:rsidP="0074551F">
      <w:pPr>
        <w:pStyle w:val="Odlomakpopisa"/>
        <w:numPr>
          <w:ilvl w:val="0"/>
          <w:numId w:val="12"/>
        </w:numPr>
        <w:autoSpaceDE w:val="0"/>
        <w:autoSpaceDN w:val="0"/>
        <w:adjustRightInd w:val="0"/>
        <w:rPr>
          <w:b/>
          <w:lang w:val="en-GB"/>
        </w:rPr>
      </w:pPr>
      <w:r w:rsidRPr="00264960">
        <w:rPr>
          <w:b/>
          <w:lang w:val="en-GB"/>
        </w:rPr>
        <w:t xml:space="preserve">Beneficiaries of reinsurance </w:t>
      </w:r>
    </w:p>
    <w:p w14:paraId="43139341" w14:textId="77777777" w:rsidR="0074551F" w:rsidRPr="00264960" w:rsidRDefault="0074551F" w:rsidP="0074551F">
      <w:pPr>
        <w:rPr>
          <w:lang w:val="en-GB"/>
        </w:rPr>
      </w:pPr>
      <w:r w:rsidRPr="00264960">
        <w:rPr>
          <w:lang w:val="en-GB"/>
        </w:rPr>
        <w:t xml:space="preserve">Insurance companies providing insurance of short-term export receivables to companies headquartered in the Republic of Croatia with up to 180 days deferred payment or receivables </w:t>
      </w:r>
      <w:r>
        <w:rPr>
          <w:lang w:val="en-GB"/>
        </w:rPr>
        <w:t xml:space="preserve">maturing in </w:t>
      </w:r>
      <w:r w:rsidRPr="00264960">
        <w:rPr>
          <w:lang w:val="en-GB"/>
        </w:rPr>
        <w:t>up to 2 years includ</w:t>
      </w:r>
      <w:r>
        <w:rPr>
          <w:lang w:val="en-GB"/>
        </w:rPr>
        <w:t>ing</w:t>
      </w:r>
      <w:r w:rsidRPr="00264960">
        <w:rPr>
          <w:lang w:val="en-GB"/>
        </w:rPr>
        <w:t xml:space="preserve"> the manufacturing period and the payment collection period.</w:t>
      </w:r>
    </w:p>
    <w:p w14:paraId="6104F576" w14:textId="77777777" w:rsidR="0074551F" w:rsidRPr="00264960" w:rsidRDefault="0074551F" w:rsidP="0074551F">
      <w:pPr>
        <w:pStyle w:val="Odlomakpopisa"/>
        <w:numPr>
          <w:ilvl w:val="0"/>
          <w:numId w:val="11"/>
        </w:numPr>
        <w:autoSpaceDE w:val="0"/>
        <w:autoSpaceDN w:val="0"/>
        <w:adjustRightInd w:val="0"/>
        <w:rPr>
          <w:b/>
          <w:lang w:val="en-GB"/>
        </w:rPr>
      </w:pPr>
      <w:r w:rsidRPr="00264960">
        <w:rPr>
          <w:b/>
          <w:lang w:val="en-GB"/>
        </w:rPr>
        <w:t>Subject matter or reinsurance</w:t>
      </w:r>
    </w:p>
    <w:p w14:paraId="16498956" w14:textId="77777777" w:rsidR="0074551F" w:rsidRPr="00264960" w:rsidRDefault="0074551F" w:rsidP="0074551F">
      <w:pPr>
        <w:rPr>
          <w:lang w:val="en-GB"/>
        </w:rPr>
      </w:pPr>
      <w:r w:rsidRPr="00264960">
        <w:rPr>
          <w:lang w:val="en-GB"/>
        </w:rPr>
        <w:t>Exporters’ cash receivables insured by insurance companies that arise from performed and invoiced deliveries of goods and/or services to a foreign buyer.</w:t>
      </w:r>
    </w:p>
    <w:p w14:paraId="1E265713" w14:textId="77777777" w:rsidR="0074551F" w:rsidRPr="00264960" w:rsidRDefault="0074551F" w:rsidP="0074551F">
      <w:pPr>
        <w:ind w:left="709" w:hanging="283"/>
        <w:rPr>
          <w:b/>
          <w:lang w:val="en-GB"/>
        </w:rPr>
      </w:pPr>
      <w:r w:rsidRPr="00264960">
        <w:rPr>
          <w:b/>
          <w:lang w:val="en-GB"/>
        </w:rPr>
        <w:t>4.</w:t>
      </w:r>
      <w:r w:rsidRPr="00264960">
        <w:rPr>
          <w:b/>
          <w:lang w:val="en-GB"/>
        </w:rPr>
        <w:tab/>
        <w:t xml:space="preserve">Reinsured risks </w:t>
      </w:r>
    </w:p>
    <w:p w14:paraId="3FE73B89" w14:textId="148464A9" w:rsidR="0074551F" w:rsidRPr="00264960" w:rsidRDefault="0074551F" w:rsidP="0074551F">
      <w:pPr>
        <w:pStyle w:val="Odlomakpopisa"/>
        <w:spacing w:after="0" w:line="240" w:lineRule="atLeast"/>
        <w:ind w:left="0"/>
        <w:rPr>
          <w:bCs/>
          <w:lang w:val="en-GB"/>
        </w:rPr>
      </w:pPr>
      <w:r w:rsidRPr="00264960">
        <w:rPr>
          <w:bCs/>
          <w:lang w:val="en-GB"/>
        </w:rPr>
        <w:t>Reinsurance covers non-market</w:t>
      </w:r>
      <w:r>
        <w:rPr>
          <w:bCs/>
          <w:lang w:val="en-GB"/>
        </w:rPr>
        <w:t xml:space="preserve"> and</w:t>
      </w:r>
      <w:r w:rsidRPr="00264960">
        <w:rPr>
          <w:bCs/>
          <w:lang w:val="en-GB"/>
        </w:rPr>
        <w:t xml:space="preserve"> temporarily non-market</w:t>
      </w:r>
      <w:r>
        <w:rPr>
          <w:bCs/>
          <w:lang w:val="en-GB"/>
        </w:rPr>
        <w:t xml:space="preserve"> risks as follows</w:t>
      </w:r>
      <w:r w:rsidRPr="00264960">
        <w:rPr>
          <w:rFonts w:cs="Tahoma"/>
          <w:lang w:val="en-GB"/>
        </w:rPr>
        <w:t>:</w:t>
      </w:r>
    </w:p>
    <w:p w14:paraId="24E3C320" w14:textId="77777777" w:rsidR="0074551F" w:rsidRPr="00264960" w:rsidRDefault="0074551F" w:rsidP="0074551F">
      <w:pPr>
        <w:autoSpaceDE w:val="0"/>
        <w:autoSpaceDN w:val="0"/>
        <w:adjustRightInd w:val="0"/>
        <w:spacing w:after="0" w:line="240" w:lineRule="atLeast"/>
        <w:ind w:left="567" w:hanging="283"/>
        <w:rPr>
          <w:bCs/>
          <w:i/>
          <w:szCs w:val="20"/>
          <w:lang w:val="en-GB"/>
        </w:rPr>
      </w:pPr>
      <w:r>
        <w:rPr>
          <w:bCs/>
          <w:i/>
          <w:szCs w:val="20"/>
          <w:lang w:val="en-GB"/>
        </w:rPr>
        <w:t>Commercial risks</w:t>
      </w:r>
      <w:r w:rsidRPr="00264960">
        <w:rPr>
          <w:bCs/>
          <w:i/>
          <w:szCs w:val="20"/>
          <w:lang w:val="en-GB"/>
        </w:rPr>
        <w:t>:</w:t>
      </w:r>
    </w:p>
    <w:p w14:paraId="50C1599F" w14:textId="77777777" w:rsidR="0074551F" w:rsidRPr="00264960" w:rsidRDefault="0074551F" w:rsidP="0074551F">
      <w:pPr>
        <w:numPr>
          <w:ilvl w:val="1"/>
          <w:numId w:val="5"/>
        </w:numPr>
        <w:autoSpaceDE w:val="0"/>
        <w:autoSpaceDN w:val="0"/>
        <w:adjustRightInd w:val="0"/>
        <w:spacing w:after="0" w:line="240" w:lineRule="atLeast"/>
        <w:ind w:left="567" w:hanging="283"/>
        <w:rPr>
          <w:bCs/>
          <w:szCs w:val="20"/>
          <w:lang w:val="en-GB"/>
        </w:rPr>
      </w:pPr>
      <w:r w:rsidRPr="00264960">
        <w:rPr>
          <w:bCs/>
          <w:szCs w:val="20"/>
          <w:lang w:val="en-GB"/>
        </w:rPr>
        <w:t>N</w:t>
      </w:r>
      <w:r>
        <w:rPr>
          <w:bCs/>
          <w:szCs w:val="20"/>
          <w:lang w:val="en-GB"/>
        </w:rPr>
        <w:t>on-payment, delayed payment or non-fulfilment of payment obligation on the part of foreign buyer arisen upon the expiry of the maximum payment deadline</w:t>
      </w:r>
      <w:r w:rsidRPr="00264960">
        <w:rPr>
          <w:bCs/>
          <w:szCs w:val="20"/>
          <w:lang w:val="en-GB"/>
        </w:rPr>
        <w:t>,</w:t>
      </w:r>
    </w:p>
    <w:p w14:paraId="24980F0A" w14:textId="3B7112B6" w:rsidR="0074551F" w:rsidRPr="00023405" w:rsidRDefault="0074551F" w:rsidP="0074551F">
      <w:pPr>
        <w:numPr>
          <w:ilvl w:val="1"/>
          <w:numId w:val="5"/>
        </w:numPr>
        <w:autoSpaceDE w:val="0"/>
        <w:autoSpaceDN w:val="0"/>
        <w:adjustRightInd w:val="0"/>
        <w:spacing w:after="0" w:line="240" w:lineRule="atLeast"/>
        <w:ind w:left="567" w:hanging="283"/>
        <w:rPr>
          <w:bCs/>
          <w:szCs w:val="20"/>
          <w:lang w:val="en-GB"/>
        </w:rPr>
      </w:pPr>
      <w:r w:rsidRPr="00023405">
        <w:rPr>
          <w:bCs/>
          <w:szCs w:val="20"/>
          <w:lang w:val="en-GB"/>
        </w:rPr>
        <w:lastRenderedPageBreak/>
        <w:t xml:space="preserve">Insolvency </w:t>
      </w:r>
      <w:r>
        <w:rPr>
          <w:bCs/>
          <w:szCs w:val="20"/>
          <w:lang w:val="en-GB"/>
        </w:rPr>
        <w:t xml:space="preserve">as determined by the governing law </w:t>
      </w:r>
      <w:r w:rsidRPr="00023405">
        <w:rPr>
          <w:bCs/>
          <w:szCs w:val="20"/>
          <w:lang w:val="en-GB"/>
        </w:rPr>
        <w:t xml:space="preserve">of the </w:t>
      </w:r>
      <w:r>
        <w:rPr>
          <w:bCs/>
          <w:szCs w:val="20"/>
          <w:lang w:val="en-GB"/>
        </w:rPr>
        <w:t>f</w:t>
      </w:r>
      <w:r w:rsidRPr="00023405">
        <w:rPr>
          <w:bCs/>
          <w:szCs w:val="20"/>
          <w:lang w:val="en-GB"/>
        </w:rPr>
        <w:t>oreign buyer</w:t>
      </w:r>
      <w:r>
        <w:rPr>
          <w:bCs/>
          <w:szCs w:val="20"/>
          <w:lang w:val="en-GB"/>
        </w:rPr>
        <w:t xml:space="preserve">’s country or </w:t>
      </w:r>
      <w:r w:rsidRPr="00023405">
        <w:rPr>
          <w:bCs/>
          <w:szCs w:val="20"/>
          <w:lang w:val="en-GB"/>
        </w:rPr>
        <w:t>other objective facts that indicate impossibility of fulfilment of payment obligation, initiation of pre-bankruptcy, bankruptcy or liquidation proc</w:t>
      </w:r>
      <w:r>
        <w:rPr>
          <w:bCs/>
          <w:szCs w:val="20"/>
          <w:lang w:val="en-GB"/>
        </w:rPr>
        <w:t xml:space="preserve">eedings </w:t>
      </w:r>
      <w:r w:rsidRPr="00023405">
        <w:rPr>
          <w:bCs/>
          <w:szCs w:val="20"/>
          <w:lang w:val="en-GB"/>
        </w:rPr>
        <w:t xml:space="preserve">against the </w:t>
      </w:r>
      <w:r>
        <w:rPr>
          <w:bCs/>
          <w:szCs w:val="20"/>
          <w:lang w:val="en-GB"/>
        </w:rPr>
        <w:t>f</w:t>
      </w:r>
      <w:r w:rsidRPr="00023405">
        <w:rPr>
          <w:bCs/>
          <w:szCs w:val="20"/>
          <w:lang w:val="en-GB"/>
        </w:rPr>
        <w:t>oreign buyer</w:t>
      </w:r>
      <w:r w:rsidR="00103170">
        <w:rPr>
          <w:bCs/>
          <w:szCs w:val="20"/>
          <w:lang w:val="en-GB"/>
        </w:rPr>
        <w:t>.</w:t>
      </w:r>
    </w:p>
    <w:p w14:paraId="7885CA25" w14:textId="77777777" w:rsidR="0074551F" w:rsidRPr="00264960" w:rsidRDefault="0074551F" w:rsidP="0074551F">
      <w:pPr>
        <w:autoSpaceDE w:val="0"/>
        <w:autoSpaceDN w:val="0"/>
        <w:adjustRightInd w:val="0"/>
        <w:spacing w:after="0" w:line="240" w:lineRule="atLeast"/>
        <w:ind w:left="567" w:hanging="283"/>
        <w:rPr>
          <w:bCs/>
          <w:szCs w:val="20"/>
          <w:lang w:val="en-GB"/>
        </w:rPr>
      </w:pPr>
      <w:r>
        <w:rPr>
          <w:bCs/>
          <w:szCs w:val="20"/>
          <w:lang w:val="en-GB"/>
        </w:rPr>
        <w:t>and</w:t>
      </w:r>
    </w:p>
    <w:p w14:paraId="3FA8F3A3" w14:textId="77777777" w:rsidR="0074551F" w:rsidRPr="00264960" w:rsidRDefault="0074551F" w:rsidP="0074551F">
      <w:pPr>
        <w:autoSpaceDE w:val="0"/>
        <w:autoSpaceDN w:val="0"/>
        <w:adjustRightInd w:val="0"/>
        <w:spacing w:after="0" w:line="240" w:lineRule="atLeast"/>
        <w:ind w:left="567" w:hanging="283"/>
        <w:rPr>
          <w:bCs/>
          <w:i/>
          <w:szCs w:val="20"/>
          <w:lang w:val="en-GB"/>
        </w:rPr>
      </w:pPr>
      <w:r w:rsidRPr="00264960">
        <w:rPr>
          <w:bCs/>
          <w:i/>
          <w:szCs w:val="20"/>
          <w:lang w:val="en-GB"/>
        </w:rPr>
        <w:t>Politi</w:t>
      </w:r>
      <w:r>
        <w:rPr>
          <w:bCs/>
          <w:i/>
          <w:szCs w:val="20"/>
          <w:lang w:val="en-GB"/>
        </w:rPr>
        <w:t>cal risks</w:t>
      </w:r>
      <w:r w:rsidRPr="00264960">
        <w:rPr>
          <w:bCs/>
          <w:i/>
          <w:szCs w:val="20"/>
          <w:lang w:val="en-GB"/>
        </w:rPr>
        <w:t>:</w:t>
      </w:r>
    </w:p>
    <w:p w14:paraId="4F979A57" w14:textId="77777777" w:rsidR="0074551F" w:rsidRPr="00264960" w:rsidRDefault="0074551F" w:rsidP="0074551F">
      <w:pPr>
        <w:pStyle w:val="Odlomakpopisa"/>
        <w:numPr>
          <w:ilvl w:val="1"/>
          <w:numId w:val="7"/>
        </w:numPr>
        <w:autoSpaceDE w:val="0"/>
        <w:autoSpaceDN w:val="0"/>
        <w:adjustRightInd w:val="0"/>
        <w:spacing w:after="0" w:line="240" w:lineRule="atLeast"/>
        <w:ind w:left="567" w:hanging="283"/>
        <w:rPr>
          <w:bCs/>
          <w:lang w:val="en-GB"/>
        </w:rPr>
      </w:pPr>
      <w:r>
        <w:rPr>
          <w:bCs/>
          <w:lang w:val="en-GB"/>
        </w:rPr>
        <w:t xml:space="preserve">War or events </w:t>
      </w:r>
      <w:proofErr w:type="gramStart"/>
      <w:r>
        <w:rPr>
          <w:bCs/>
          <w:lang w:val="en-GB"/>
        </w:rPr>
        <w:t>similar to</w:t>
      </w:r>
      <w:proofErr w:type="gramEnd"/>
      <w:r>
        <w:rPr>
          <w:bCs/>
          <w:lang w:val="en-GB"/>
        </w:rPr>
        <w:t xml:space="preserve"> war</w:t>
      </w:r>
      <w:r w:rsidRPr="00264960">
        <w:rPr>
          <w:bCs/>
          <w:lang w:val="en-GB"/>
        </w:rPr>
        <w:t>,</w:t>
      </w:r>
    </w:p>
    <w:p w14:paraId="0608EB8D" w14:textId="77777777" w:rsidR="0074551F" w:rsidRPr="00264960" w:rsidRDefault="0074551F" w:rsidP="0074551F">
      <w:pPr>
        <w:pStyle w:val="Odlomakpopisa"/>
        <w:numPr>
          <w:ilvl w:val="1"/>
          <w:numId w:val="7"/>
        </w:numPr>
        <w:autoSpaceDE w:val="0"/>
        <w:autoSpaceDN w:val="0"/>
        <w:adjustRightInd w:val="0"/>
        <w:spacing w:after="0" w:line="240" w:lineRule="atLeast"/>
        <w:ind w:left="567" w:hanging="283"/>
        <w:rPr>
          <w:bCs/>
          <w:lang w:val="en-GB"/>
        </w:rPr>
      </w:pPr>
      <w:r>
        <w:rPr>
          <w:bCs/>
          <w:lang w:val="en-GB"/>
        </w:rPr>
        <w:t>Rebellion or revolution</w:t>
      </w:r>
      <w:r w:rsidRPr="00264960">
        <w:rPr>
          <w:bCs/>
          <w:lang w:val="en-GB"/>
        </w:rPr>
        <w:t>,</w:t>
      </w:r>
    </w:p>
    <w:p w14:paraId="1F4141F0" w14:textId="01E1ADA3" w:rsidR="0074551F" w:rsidRPr="007C2416" w:rsidRDefault="0074551F" w:rsidP="0074551F">
      <w:pPr>
        <w:pStyle w:val="Odlomakpopisa"/>
        <w:numPr>
          <w:ilvl w:val="1"/>
          <w:numId w:val="7"/>
        </w:numPr>
        <w:autoSpaceDE w:val="0"/>
        <w:autoSpaceDN w:val="0"/>
        <w:adjustRightInd w:val="0"/>
        <w:spacing w:after="0" w:line="240" w:lineRule="atLeast"/>
        <w:ind w:left="567" w:hanging="283"/>
        <w:rPr>
          <w:bCs/>
          <w:lang w:val="en-GB"/>
        </w:rPr>
      </w:pPr>
      <w:r w:rsidRPr="007C2416">
        <w:rPr>
          <w:bCs/>
          <w:lang w:val="en-GB"/>
        </w:rPr>
        <w:t xml:space="preserve">Government measures limiting or preventing the transfer or free disposal of payments due to the exporter, for the period longer than 3 months. </w:t>
      </w:r>
      <w:r>
        <w:rPr>
          <w:bCs/>
          <w:lang w:val="en-GB"/>
        </w:rPr>
        <w:t xml:space="preserve">The same effects are reached by the deferral of payment for more than 3 months if bankruptcy of liquidation proceedings cannot be initiated against foreign buyer </w:t>
      </w:r>
      <w:proofErr w:type="gramStart"/>
      <w:r>
        <w:rPr>
          <w:bCs/>
          <w:lang w:val="en-GB"/>
        </w:rPr>
        <w:t>on the basis of</w:t>
      </w:r>
      <w:proofErr w:type="gramEnd"/>
      <w:r>
        <w:rPr>
          <w:bCs/>
          <w:lang w:val="en-GB"/>
        </w:rPr>
        <w:t xml:space="preserve"> court decision </w:t>
      </w:r>
      <w:r w:rsidRPr="007C2416">
        <w:rPr>
          <w:bCs/>
          <w:lang w:val="en-GB"/>
        </w:rPr>
        <w:t>(</w:t>
      </w:r>
      <w:r>
        <w:rPr>
          <w:bCs/>
          <w:lang w:val="en-GB"/>
        </w:rPr>
        <w:t xml:space="preserve">foreign buyer is </w:t>
      </w:r>
      <w:r w:rsidR="00D435F9">
        <w:rPr>
          <w:bCs/>
          <w:lang w:val="en-GB"/>
        </w:rPr>
        <w:t xml:space="preserve">a </w:t>
      </w:r>
      <w:r>
        <w:rPr>
          <w:bCs/>
          <w:lang w:val="en-GB"/>
        </w:rPr>
        <w:t xml:space="preserve">public </w:t>
      </w:r>
      <w:r w:rsidR="00D435F9">
        <w:rPr>
          <w:bCs/>
          <w:lang w:val="en-GB"/>
        </w:rPr>
        <w:t xml:space="preserve">law </w:t>
      </w:r>
      <w:r>
        <w:rPr>
          <w:bCs/>
          <w:lang w:val="en-GB"/>
        </w:rPr>
        <w:t>entity</w:t>
      </w:r>
      <w:r w:rsidRPr="007C2416">
        <w:rPr>
          <w:bCs/>
          <w:lang w:val="en-GB"/>
        </w:rPr>
        <w:t>).</w:t>
      </w:r>
    </w:p>
    <w:p w14:paraId="258B5321" w14:textId="77777777" w:rsidR="0074551F" w:rsidRPr="00264960" w:rsidRDefault="0074551F" w:rsidP="0074551F">
      <w:pPr>
        <w:pStyle w:val="Odlomakpopisa"/>
        <w:autoSpaceDE w:val="0"/>
        <w:autoSpaceDN w:val="0"/>
        <w:adjustRightInd w:val="0"/>
        <w:spacing w:after="0" w:line="240" w:lineRule="atLeast"/>
        <w:ind w:left="567"/>
        <w:rPr>
          <w:bCs/>
          <w:lang w:val="en-GB"/>
        </w:rPr>
      </w:pPr>
    </w:p>
    <w:p w14:paraId="6D00E2A4" w14:textId="77777777" w:rsidR="0074551F" w:rsidRPr="00264960" w:rsidRDefault="0074551F" w:rsidP="0074551F">
      <w:pPr>
        <w:pStyle w:val="Odlomakpopisa"/>
        <w:numPr>
          <w:ilvl w:val="2"/>
          <w:numId w:val="7"/>
        </w:numPr>
        <w:ind w:left="709" w:hanging="283"/>
        <w:rPr>
          <w:b/>
          <w:lang w:val="en-GB"/>
        </w:rPr>
      </w:pPr>
      <w:r>
        <w:rPr>
          <w:b/>
          <w:lang w:val="en-GB"/>
        </w:rPr>
        <w:t>Scope of reinsurance coverage</w:t>
      </w:r>
    </w:p>
    <w:p w14:paraId="56039C9F" w14:textId="77777777" w:rsidR="0074551F" w:rsidRPr="00264960" w:rsidRDefault="0074551F" w:rsidP="0074551F">
      <w:pPr>
        <w:spacing w:after="0" w:line="240" w:lineRule="atLeast"/>
        <w:rPr>
          <w:bCs/>
          <w:lang w:val="en-GB"/>
        </w:rPr>
      </w:pPr>
      <w:r w:rsidRPr="00264960">
        <w:rPr>
          <w:lang w:val="en-GB"/>
        </w:rPr>
        <w:t>HBOR a</w:t>
      </w:r>
      <w:r>
        <w:rPr>
          <w:lang w:val="en-GB"/>
        </w:rPr>
        <w:t xml:space="preserve">s reinsurer </w:t>
      </w:r>
      <w:proofErr w:type="gramStart"/>
      <w:r>
        <w:rPr>
          <w:lang w:val="en-GB"/>
        </w:rPr>
        <w:t>enters into</w:t>
      </w:r>
      <w:proofErr w:type="gramEnd"/>
      <w:r>
        <w:rPr>
          <w:lang w:val="en-GB"/>
        </w:rPr>
        <w:t xml:space="preserve"> a contract with an insurance company on the reinsurance of the risk</w:t>
      </w:r>
      <w:r w:rsidRPr="00264960">
        <w:rPr>
          <w:lang w:val="en-GB"/>
        </w:rPr>
        <w:t xml:space="preserve">. </w:t>
      </w:r>
      <w:r>
        <w:rPr>
          <w:lang w:val="en-GB"/>
        </w:rPr>
        <w:t xml:space="preserve">In accordance with the agreed quota share, </w:t>
      </w:r>
      <w:r w:rsidRPr="00264960">
        <w:rPr>
          <w:bCs/>
          <w:lang w:val="en-GB"/>
        </w:rPr>
        <w:t>HBOR</w:t>
      </w:r>
      <w:r>
        <w:rPr>
          <w:bCs/>
          <w:lang w:val="en-GB"/>
        </w:rPr>
        <w:t xml:space="preserve"> as reinsurer participates in</w:t>
      </w:r>
      <w:r w:rsidRPr="00264960">
        <w:rPr>
          <w:bCs/>
          <w:lang w:val="en-GB"/>
        </w:rPr>
        <w:t>:</w:t>
      </w:r>
    </w:p>
    <w:p w14:paraId="639C6117" w14:textId="77777777" w:rsidR="0074551F" w:rsidRPr="00264960" w:rsidRDefault="0074551F" w:rsidP="0074551F">
      <w:pPr>
        <w:numPr>
          <w:ilvl w:val="0"/>
          <w:numId w:val="16"/>
        </w:numPr>
        <w:spacing w:after="0" w:line="240" w:lineRule="atLeast"/>
        <w:ind w:left="426" w:hanging="284"/>
        <w:rPr>
          <w:bCs/>
          <w:lang w:val="en-GB"/>
        </w:rPr>
      </w:pPr>
      <w:r>
        <w:rPr>
          <w:bCs/>
          <w:lang w:val="en-GB"/>
        </w:rPr>
        <w:t>Insurance premium</w:t>
      </w:r>
      <w:r w:rsidRPr="00264960">
        <w:rPr>
          <w:bCs/>
          <w:lang w:val="en-GB"/>
        </w:rPr>
        <w:t>,</w:t>
      </w:r>
    </w:p>
    <w:p w14:paraId="0145ADB0" w14:textId="77777777" w:rsidR="0074551F" w:rsidRPr="00264960" w:rsidRDefault="0074551F" w:rsidP="0074551F">
      <w:pPr>
        <w:numPr>
          <w:ilvl w:val="0"/>
          <w:numId w:val="16"/>
        </w:numPr>
        <w:spacing w:after="0" w:line="240" w:lineRule="atLeast"/>
        <w:ind w:left="426" w:hanging="284"/>
        <w:rPr>
          <w:bCs/>
          <w:lang w:val="en-GB"/>
        </w:rPr>
      </w:pPr>
      <w:r>
        <w:rPr>
          <w:bCs/>
          <w:lang w:val="en-GB"/>
        </w:rPr>
        <w:t>Indemnities and additional costs</w:t>
      </w:r>
      <w:r w:rsidRPr="00264960">
        <w:rPr>
          <w:bCs/>
          <w:lang w:val="en-GB"/>
        </w:rPr>
        <w:t>,</w:t>
      </w:r>
    </w:p>
    <w:p w14:paraId="6924F5DA" w14:textId="4EF435D4" w:rsidR="0074551F" w:rsidRPr="00264960" w:rsidRDefault="00DD2FDB" w:rsidP="0074551F">
      <w:pPr>
        <w:numPr>
          <w:ilvl w:val="0"/>
          <w:numId w:val="16"/>
        </w:numPr>
        <w:spacing w:after="0" w:line="240" w:lineRule="atLeast"/>
        <w:ind w:left="426" w:hanging="284"/>
        <w:rPr>
          <w:bCs/>
          <w:lang w:val="en-GB"/>
        </w:rPr>
      </w:pPr>
      <w:r>
        <w:rPr>
          <w:bCs/>
          <w:lang w:val="en-GB"/>
        </w:rPr>
        <w:t>Recovered amounts</w:t>
      </w:r>
      <w:r w:rsidR="0074551F" w:rsidRPr="00264960">
        <w:rPr>
          <w:bCs/>
          <w:lang w:val="en-GB"/>
        </w:rPr>
        <w:t>.</w:t>
      </w:r>
    </w:p>
    <w:p w14:paraId="49F89FE3" w14:textId="77777777" w:rsidR="0074551F" w:rsidRPr="00264960" w:rsidRDefault="0074551F" w:rsidP="0074551F">
      <w:pPr>
        <w:spacing w:after="0" w:line="240" w:lineRule="atLeast"/>
        <w:rPr>
          <w:bCs/>
          <w:lang w:val="en-GB"/>
        </w:rPr>
      </w:pPr>
    </w:p>
    <w:p w14:paraId="621A97C9" w14:textId="5996189B" w:rsidR="0074551F" w:rsidRDefault="0074551F" w:rsidP="0074551F">
      <w:pPr>
        <w:spacing w:after="0" w:line="240" w:lineRule="atLeast"/>
        <w:rPr>
          <w:bCs/>
          <w:lang w:val="en-GB"/>
        </w:rPr>
      </w:pPr>
      <w:r w:rsidRPr="00264960">
        <w:rPr>
          <w:bCs/>
          <w:lang w:val="en-GB"/>
        </w:rPr>
        <w:t>Re</w:t>
      </w:r>
      <w:r>
        <w:rPr>
          <w:bCs/>
          <w:lang w:val="en-GB"/>
        </w:rPr>
        <w:t>insurance covers the receivables arisen in the period of validity of reinsurance contract, and they remain covered until their expiry or until the expiry of the maturity period for the insured receivables</w:t>
      </w:r>
      <w:r w:rsidRPr="00264960">
        <w:rPr>
          <w:bCs/>
          <w:lang w:val="en-GB"/>
        </w:rPr>
        <w:t>.</w:t>
      </w:r>
    </w:p>
    <w:p w14:paraId="6E3AE000" w14:textId="77777777" w:rsidR="0074551F" w:rsidRPr="00264960" w:rsidRDefault="0074551F" w:rsidP="0074551F">
      <w:pPr>
        <w:spacing w:after="0" w:line="240" w:lineRule="atLeast"/>
        <w:rPr>
          <w:bCs/>
          <w:lang w:val="en-GB"/>
        </w:rPr>
      </w:pPr>
    </w:p>
    <w:p w14:paraId="3A725101" w14:textId="493919B4" w:rsidR="0047501B" w:rsidRPr="00C84133" w:rsidRDefault="00D55EEE" w:rsidP="0047501B">
      <w:pPr>
        <w:spacing w:line="240" w:lineRule="atLeast"/>
        <w:ind w:left="709" w:hanging="283"/>
        <w:rPr>
          <w:b/>
          <w:bCs/>
          <w:lang w:val="en-GB"/>
        </w:rPr>
      </w:pPr>
      <w:r>
        <w:rPr>
          <w:b/>
          <w:bCs/>
        </w:rPr>
        <w:t>6</w:t>
      </w:r>
      <w:r w:rsidR="0047501B">
        <w:rPr>
          <w:b/>
          <w:bCs/>
        </w:rPr>
        <w:t>.</w:t>
      </w:r>
      <w:r w:rsidR="0047501B">
        <w:rPr>
          <w:b/>
          <w:bCs/>
        </w:rPr>
        <w:tab/>
      </w:r>
      <w:r w:rsidR="00065DA0" w:rsidRPr="00C84133">
        <w:rPr>
          <w:b/>
          <w:bCs/>
          <w:lang w:val="en-GB"/>
        </w:rPr>
        <w:t xml:space="preserve">Level of </w:t>
      </w:r>
      <w:r w:rsidR="00C84133" w:rsidRPr="00C84133">
        <w:rPr>
          <w:b/>
          <w:bCs/>
          <w:lang w:val="en-GB"/>
        </w:rPr>
        <w:t xml:space="preserve">reinsurance </w:t>
      </w:r>
      <w:r w:rsidR="00065DA0" w:rsidRPr="00C84133">
        <w:rPr>
          <w:b/>
          <w:bCs/>
          <w:lang w:val="en-GB"/>
        </w:rPr>
        <w:t>coverage</w:t>
      </w:r>
    </w:p>
    <w:p w14:paraId="4E9A5E24" w14:textId="0570306A" w:rsidR="003D4C72" w:rsidRPr="00C84133" w:rsidRDefault="00C84133" w:rsidP="00744D8A">
      <w:pPr>
        <w:spacing w:after="0" w:line="240" w:lineRule="atLeast"/>
        <w:rPr>
          <w:bCs/>
          <w:szCs w:val="20"/>
          <w:lang w:val="en-GB"/>
        </w:rPr>
      </w:pPr>
      <w:r>
        <w:rPr>
          <w:bCs/>
          <w:szCs w:val="20"/>
          <w:lang w:val="en-GB"/>
        </w:rPr>
        <w:t xml:space="preserve">The maximum level of coverage by HBOR as </w:t>
      </w:r>
      <w:r w:rsidR="002A0F10">
        <w:rPr>
          <w:bCs/>
          <w:szCs w:val="20"/>
          <w:lang w:val="en-GB"/>
        </w:rPr>
        <w:t xml:space="preserve">the </w:t>
      </w:r>
      <w:r>
        <w:rPr>
          <w:bCs/>
          <w:szCs w:val="20"/>
          <w:lang w:val="en-GB"/>
        </w:rPr>
        <w:t>reinsurer may be up to</w:t>
      </w:r>
      <w:r w:rsidR="003D4C72" w:rsidRPr="00C84133">
        <w:rPr>
          <w:bCs/>
          <w:szCs w:val="20"/>
          <w:lang w:val="en-GB"/>
        </w:rPr>
        <w:t xml:space="preserve"> 90%, </w:t>
      </w:r>
      <w:r>
        <w:rPr>
          <w:bCs/>
          <w:szCs w:val="20"/>
          <w:lang w:val="en-GB"/>
        </w:rPr>
        <w:t xml:space="preserve">whereas the level of coverage by </w:t>
      </w:r>
      <w:r w:rsidR="007813E0">
        <w:rPr>
          <w:bCs/>
          <w:szCs w:val="20"/>
          <w:lang w:val="en-GB"/>
        </w:rPr>
        <w:t>the</w:t>
      </w:r>
      <w:r>
        <w:rPr>
          <w:bCs/>
          <w:szCs w:val="20"/>
          <w:lang w:val="en-GB"/>
        </w:rPr>
        <w:t xml:space="preserve"> insurance company amounts to at least </w:t>
      </w:r>
      <w:r w:rsidR="003D4C72" w:rsidRPr="00C84133">
        <w:rPr>
          <w:bCs/>
          <w:szCs w:val="20"/>
          <w:lang w:val="en-GB"/>
        </w:rPr>
        <w:t>10%.</w:t>
      </w:r>
    </w:p>
    <w:p w14:paraId="131A6F8F" w14:textId="4D50D80C" w:rsidR="003D4C72" w:rsidRPr="00C84133" w:rsidRDefault="003D4C72" w:rsidP="00744D8A">
      <w:pPr>
        <w:spacing w:after="0" w:line="240" w:lineRule="atLeast"/>
        <w:rPr>
          <w:bCs/>
          <w:szCs w:val="20"/>
          <w:lang w:val="en-GB"/>
        </w:rPr>
      </w:pPr>
    </w:p>
    <w:p w14:paraId="4841DEF1" w14:textId="614ED23D" w:rsidR="0002677D" w:rsidRPr="00C84133" w:rsidRDefault="0002677D" w:rsidP="0002677D">
      <w:pPr>
        <w:ind w:left="709" w:hanging="283"/>
        <w:rPr>
          <w:rFonts w:ascii="Calibri" w:hAnsi="Calibri"/>
          <w:b/>
          <w:lang w:val="en-GB"/>
        </w:rPr>
      </w:pPr>
      <w:r w:rsidRPr="00C84133">
        <w:rPr>
          <w:rFonts w:ascii="Calibri" w:hAnsi="Calibri"/>
          <w:b/>
          <w:lang w:val="en-GB"/>
        </w:rPr>
        <w:t>7.</w:t>
      </w:r>
      <w:r w:rsidRPr="00C84133">
        <w:rPr>
          <w:rFonts w:ascii="Calibri" w:hAnsi="Calibri"/>
          <w:b/>
          <w:lang w:val="en-GB"/>
        </w:rPr>
        <w:tab/>
      </w:r>
      <w:r w:rsidR="00C84133">
        <w:rPr>
          <w:rFonts w:ascii="Calibri" w:hAnsi="Calibri"/>
          <w:b/>
          <w:lang w:val="en-GB"/>
        </w:rPr>
        <w:t>Contracting of reinsurance with HBOR</w:t>
      </w:r>
    </w:p>
    <w:p w14:paraId="33C63468" w14:textId="721A4B95" w:rsidR="0002677D" w:rsidRPr="00C84133" w:rsidRDefault="00C84133" w:rsidP="0002677D">
      <w:pPr>
        <w:spacing w:after="0" w:line="240" w:lineRule="atLeast"/>
        <w:rPr>
          <w:bCs/>
          <w:szCs w:val="20"/>
          <w:lang w:val="en-GB"/>
        </w:rPr>
      </w:pPr>
      <w:proofErr w:type="gramStart"/>
      <w:r>
        <w:rPr>
          <w:bCs/>
          <w:szCs w:val="20"/>
          <w:lang w:val="en-GB"/>
        </w:rPr>
        <w:t>For the purpose of</w:t>
      </w:r>
      <w:proofErr w:type="gramEnd"/>
      <w:r>
        <w:rPr>
          <w:bCs/>
          <w:szCs w:val="20"/>
          <w:lang w:val="en-GB"/>
        </w:rPr>
        <w:t xml:space="preserve"> contracting reinsurance, it is necessary to submit to</w:t>
      </w:r>
      <w:r w:rsidR="0002677D" w:rsidRPr="00C84133">
        <w:rPr>
          <w:bCs/>
          <w:szCs w:val="20"/>
          <w:lang w:val="en-GB"/>
        </w:rPr>
        <w:t xml:space="preserve"> HBOR</w:t>
      </w:r>
      <w:r>
        <w:rPr>
          <w:bCs/>
          <w:szCs w:val="20"/>
          <w:lang w:val="en-GB"/>
        </w:rPr>
        <w:t xml:space="preserve"> an application for the conclusion of</w:t>
      </w:r>
      <w:r w:rsidR="0002677D" w:rsidRPr="00C84133">
        <w:rPr>
          <w:bCs/>
          <w:szCs w:val="20"/>
          <w:lang w:val="en-GB"/>
        </w:rPr>
        <w:t xml:space="preserve"> </w:t>
      </w:r>
      <w:r>
        <w:rPr>
          <w:bCs/>
          <w:szCs w:val="20"/>
          <w:lang w:val="en-GB"/>
        </w:rPr>
        <w:t xml:space="preserve">reinsurance </w:t>
      </w:r>
      <w:r w:rsidR="000E41C7">
        <w:rPr>
          <w:bCs/>
          <w:szCs w:val="20"/>
          <w:lang w:val="en-GB"/>
        </w:rPr>
        <w:t xml:space="preserve">contract </w:t>
      </w:r>
      <w:r>
        <w:rPr>
          <w:bCs/>
          <w:szCs w:val="20"/>
          <w:lang w:val="en-GB"/>
        </w:rPr>
        <w:t>with accompanying attachments defined in the application</w:t>
      </w:r>
      <w:r w:rsidR="0002677D" w:rsidRPr="00C84133">
        <w:rPr>
          <w:bCs/>
          <w:szCs w:val="20"/>
          <w:lang w:val="en-GB"/>
        </w:rPr>
        <w:t xml:space="preserve">. HBOR </w:t>
      </w:r>
      <w:r>
        <w:rPr>
          <w:bCs/>
          <w:szCs w:val="20"/>
          <w:lang w:val="en-GB"/>
        </w:rPr>
        <w:t>reserves the right to request other documentation</w:t>
      </w:r>
      <w:r w:rsidR="000E41C7">
        <w:rPr>
          <w:bCs/>
          <w:szCs w:val="20"/>
          <w:lang w:val="en-GB"/>
        </w:rPr>
        <w:t xml:space="preserve"> necessary for the processing of application for the conclusion of reinsurance contract</w:t>
      </w:r>
      <w:r w:rsidR="0002677D" w:rsidRPr="00C84133">
        <w:rPr>
          <w:bCs/>
          <w:szCs w:val="20"/>
          <w:lang w:val="en-GB"/>
        </w:rPr>
        <w:t>.</w:t>
      </w:r>
    </w:p>
    <w:p w14:paraId="1B741FBB" w14:textId="77777777" w:rsidR="0002677D" w:rsidRPr="00C84133" w:rsidRDefault="0002677D" w:rsidP="0002677D">
      <w:pPr>
        <w:spacing w:after="0" w:line="240" w:lineRule="atLeast"/>
        <w:rPr>
          <w:bCs/>
          <w:szCs w:val="20"/>
          <w:lang w:val="en-GB"/>
        </w:rPr>
      </w:pPr>
    </w:p>
    <w:p w14:paraId="6DDED172" w14:textId="4DC3DAF1" w:rsidR="0002677D" w:rsidRPr="00C84133" w:rsidRDefault="0002677D" w:rsidP="0002677D">
      <w:pPr>
        <w:spacing w:after="0" w:line="240" w:lineRule="atLeast"/>
        <w:rPr>
          <w:bCs/>
          <w:szCs w:val="20"/>
          <w:lang w:val="en-GB"/>
        </w:rPr>
      </w:pPr>
      <w:r w:rsidRPr="00C84133">
        <w:rPr>
          <w:bCs/>
          <w:szCs w:val="20"/>
          <w:lang w:val="en-GB"/>
        </w:rPr>
        <w:t>Standardi</w:t>
      </w:r>
      <w:r w:rsidR="000E41C7">
        <w:rPr>
          <w:bCs/>
          <w:szCs w:val="20"/>
          <w:lang w:val="en-GB"/>
        </w:rPr>
        <w:t xml:space="preserve">sed application </w:t>
      </w:r>
      <w:r w:rsidR="007813E0">
        <w:rPr>
          <w:bCs/>
          <w:szCs w:val="20"/>
          <w:lang w:val="en-GB"/>
        </w:rPr>
        <w:t xml:space="preserve">form </w:t>
      </w:r>
      <w:r w:rsidR="000E41C7">
        <w:rPr>
          <w:bCs/>
          <w:szCs w:val="20"/>
          <w:lang w:val="en-GB"/>
        </w:rPr>
        <w:t>for the conclusion of reinsurance contract</w:t>
      </w:r>
      <w:r w:rsidRPr="00C84133">
        <w:rPr>
          <w:bCs/>
          <w:szCs w:val="20"/>
          <w:lang w:val="en-GB"/>
        </w:rPr>
        <w:t xml:space="preserve"> </w:t>
      </w:r>
      <w:r w:rsidR="007813E0">
        <w:rPr>
          <w:bCs/>
          <w:szCs w:val="20"/>
          <w:lang w:val="en-GB"/>
        </w:rPr>
        <w:t>is</w:t>
      </w:r>
      <w:r w:rsidR="00F514F4">
        <w:rPr>
          <w:bCs/>
          <w:szCs w:val="20"/>
          <w:lang w:val="en-GB"/>
        </w:rPr>
        <w:t xml:space="preserve"> available </w:t>
      </w:r>
      <w:r w:rsidR="004F02D3">
        <w:rPr>
          <w:bCs/>
          <w:szCs w:val="20"/>
          <w:lang w:val="en-GB"/>
        </w:rPr>
        <w:t>in</w:t>
      </w:r>
      <w:r w:rsidRPr="00C84133">
        <w:rPr>
          <w:bCs/>
          <w:szCs w:val="20"/>
          <w:lang w:val="en-GB"/>
        </w:rPr>
        <w:t xml:space="preserve"> HBOR</w:t>
      </w:r>
      <w:r w:rsidR="004F02D3">
        <w:rPr>
          <w:bCs/>
          <w:szCs w:val="20"/>
          <w:lang w:val="en-GB"/>
        </w:rPr>
        <w:t xml:space="preserve"> </w:t>
      </w:r>
      <w:r w:rsidR="007813E0">
        <w:rPr>
          <w:bCs/>
          <w:szCs w:val="20"/>
          <w:lang w:val="en-GB"/>
        </w:rPr>
        <w:t>at</w:t>
      </w:r>
      <w:r w:rsidR="004F02D3">
        <w:rPr>
          <w:bCs/>
          <w:szCs w:val="20"/>
          <w:lang w:val="en-GB"/>
        </w:rPr>
        <w:t xml:space="preserve"> request</w:t>
      </w:r>
      <w:r w:rsidRPr="00C84133">
        <w:rPr>
          <w:bCs/>
          <w:szCs w:val="20"/>
          <w:lang w:val="en-GB"/>
        </w:rPr>
        <w:t>.</w:t>
      </w:r>
    </w:p>
    <w:p w14:paraId="317D25B1" w14:textId="7114C953" w:rsidR="0002677D" w:rsidRPr="00C84133" w:rsidRDefault="0002677D" w:rsidP="00744D8A">
      <w:pPr>
        <w:spacing w:after="0" w:line="240" w:lineRule="atLeast"/>
        <w:rPr>
          <w:bCs/>
          <w:szCs w:val="20"/>
          <w:lang w:val="en-GB"/>
        </w:rPr>
      </w:pPr>
    </w:p>
    <w:p w14:paraId="1F9595D3" w14:textId="16B0E6F5" w:rsidR="00EE1AE8" w:rsidRPr="00C84133" w:rsidRDefault="002942B2" w:rsidP="00880125">
      <w:pPr>
        <w:spacing w:line="240" w:lineRule="atLeast"/>
        <w:ind w:left="709" w:hanging="283"/>
        <w:rPr>
          <w:b/>
          <w:bCs/>
          <w:lang w:val="en-GB"/>
        </w:rPr>
      </w:pPr>
      <w:r w:rsidRPr="00C84133">
        <w:rPr>
          <w:b/>
          <w:bCs/>
          <w:lang w:val="en-GB"/>
        </w:rPr>
        <w:t>8</w:t>
      </w:r>
      <w:r w:rsidR="00EE1AE8" w:rsidRPr="00C84133">
        <w:rPr>
          <w:b/>
          <w:bCs/>
          <w:lang w:val="en-GB"/>
        </w:rPr>
        <w:t>.</w:t>
      </w:r>
      <w:r w:rsidR="0002677D" w:rsidRPr="00C84133">
        <w:rPr>
          <w:b/>
          <w:bCs/>
          <w:lang w:val="en-GB"/>
        </w:rPr>
        <w:tab/>
      </w:r>
      <w:r w:rsidR="006C0C46">
        <w:rPr>
          <w:b/>
          <w:bCs/>
          <w:lang w:val="en-GB"/>
        </w:rPr>
        <w:t xml:space="preserve">Reinsurance </w:t>
      </w:r>
      <w:r w:rsidR="00790722">
        <w:rPr>
          <w:b/>
          <w:bCs/>
          <w:lang w:val="en-GB"/>
        </w:rPr>
        <w:t>c</w:t>
      </w:r>
      <w:r w:rsidR="006C0C46">
        <w:rPr>
          <w:b/>
          <w:bCs/>
          <w:lang w:val="en-GB"/>
        </w:rPr>
        <w:t xml:space="preserve">ontract </w:t>
      </w:r>
    </w:p>
    <w:p w14:paraId="48A17D2B" w14:textId="3B19E903" w:rsidR="002E4E29" w:rsidRPr="00C84133" w:rsidRDefault="00790722" w:rsidP="00A007AE">
      <w:pPr>
        <w:spacing w:after="0" w:line="240" w:lineRule="atLeast"/>
        <w:rPr>
          <w:bCs/>
          <w:lang w:val="en-GB"/>
        </w:rPr>
      </w:pPr>
      <w:r>
        <w:rPr>
          <w:bCs/>
          <w:szCs w:val="20"/>
          <w:lang w:val="en-GB"/>
        </w:rPr>
        <w:t>The reinsurance c</w:t>
      </w:r>
      <w:r w:rsidR="006C0C46">
        <w:rPr>
          <w:bCs/>
          <w:szCs w:val="20"/>
          <w:lang w:val="en-GB"/>
        </w:rPr>
        <w:t>ontract is concluded between</w:t>
      </w:r>
      <w:r w:rsidR="007A2EC9" w:rsidRPr="00C84133">
        <w:rPr>
          <w:bCs/>
          <w:szCs w:val="20"/>
          <w:lang w:val="en-GB"/>
        </w:rPr>
        <w:t xml:space="preserve"> HBOR</w:t>
      </w:r>
      <w:r w:rsidR="006C0C46">
        <w:rPr>
          <w:bCs/>
          <w:szCs w:val="20"/>
          <w:lang w:val="en-GB"/>
        </w:rPr>
        <w:t xml:space="preserve"> and the insurance company</w:t>
      </w:r>
      <w:r w:rsidR="00A45521" w:rsidRPr="00C84133">
        <w:rPr>
          <w:bCs/>
          <w:szCs w:val="20"/>
          <w:lang w:val="en-GB"/>
        </w:rPr>
        <w:t>.</w:t>
      </w:r>
    </w:p>
    <w:p w14:paraId="764BB954" w14:textId="499B4BE4" w:rsidR="002E4E29" w:rsidRPr="00C84133" w:rsidRDefault="006C0C46" w:rsidP="00A007AE">
      <w:pPr>
        <w:spacing w:after="0" w:line="240" w:lineRule="atLeast"/>
        <w:rPr>
          <w:bCs/>
          <w:lang w:val="en-GB"/>
        </w:rPr>
      </w:pPr>
      <w:r>
        <w:rPr>
          <w:bCs/>
          <w:lang w:val="en-GB"/>
        </w:rPr>
        <w:t>Constituent parts of the reinsurance contract are</w:t>
      </w:r>
      <w:r w:rsidR="003E3869" w:rsidRPr="00C84133">
        <w:rPr>
          <w:bCs/>
          <w:lang w:val="en-GB"/>
        </w:rPr>
        <w:t>:</w:t>
      </w:r>
    </w:p>
    <w:p w14:paraId="0D6B3E7E" w14:textId="4C9ABABC" w:rsidR="002E4E29" w:rsidRPr="00C84133" w:rsidRDefault="006C0C46" w:rsidP="00A007AE">
      <w:pPr>
        <w:numPr>
          <w:ilvl w:val="0"/>
          <w:numId w:val="16"/>
        </w:numPr>
        <w:spacing w:after="0" w:line="240" w:lineRule="atLeast"/>
        <w:ind w:left="426" w:hanging="284"/>
        <w:rPr>
          <w:bCs/>
          <w:lang w:val="en-GB"/>
        </w:rPr>
      </w:pPr>
      <w:r>
        <w:rPr>
          <w:bCs/>
          <w:lang w:val="en-GB"/>
        </w:rPr>
        <w:t>General Terms and Conditions of Insurance of Short-Term Export Receivables of the insurance company</w:t>
      </w:r>
      <w:r w:rsidR="007813E0">
        <w:rPr>
          <w:bCs/>
          <w:lang w:val="en-GB"/>
        </w:rPr>
        <w:t>,</w:t>
      </w:r>
      <w:r>
        <w:rPr>
          <w:bCs/>
          <w:lang w:val="en-GB"/>
        </w:rPr>
        <w:t xml:space="preserve"> accepted by </w:t>
      </w:r>
      <w:r w:rsidR="00082F0E" w:rsidRPr="00C84133">
        <w:rPr>
          <w:bCs/>
          <w:lang w:val="en-GB"/>
        </w:rPr>
        <w:t>HBOR,</w:t>
      </w:r>
      <w:r w:rsidR="002E4E29" w:rsidRPr="00C84133">
        <w:rPr>
          <w:bCs/>
          <w:lang w:val="en-GB"/>
        </w:rPr>
        <w:t xml:space="preserve"> </w:t>
      </w:r>
    </w:p>
    <w:p w14:paraId="66492EF4" w14:textId="05D7FED9" w:rsidR="002E4E29" w:rsidRPr="00C84133" w:rsidRDefault="006C0C46" w:rsidP="00A007AE">
      <w:pPr>
        <w:numPr>
          <w:ilvl w:val="0"/>
          <w:numId w:val="16"/>
        </w:numPr>
        <w:spacing w:after="0" w:line="240" w:lineRule="atLeast"/>
        <w:ind w:left="426" w:hanging="284"/>
        <w:rPr>
          <w:bCs/>
          <w:lang w:val="en-GB"/>
        </w:rPr>
      </w:pPr>
      <w:r>
        <w:rPr>
          <w:bCs/>
          <w:lang w:val="en-GB"/>
        </w:rPr>
        <w:t>Accepted list of countries</w:t>
      </w:r>
      <w:r w:rsidR="007813E0">
        <w:rPr>
          <w:bCs/>
          <w:lang w:val="en-GB"/>
        </w:rPr>
        <w:t>,</w:t>
      </w:r>
      <w:r>
        <w:rPr>
          <w:bCs/>
          <w:lang w:val="en-GB"/>
        </w:rPr>
        <w:t xml:space="preserve"> for which the insurance company wishes to contract reinsurance with</w:t>
      </w:r>
      <w:r w:rsidR="002E4E29" w:rsidRPr="00C84133">
        <w:rPr>
          <w:bCs/>
          <w:lang w:val="en-GB"/>
        </w:rPr>
        <w:t xml:space="preserve"> HBOR</w:t>
      </w:r>
      <w:r>
        <w:rPr>
          <w:bCs/>
          <w:lang w:val="en-GB"/>
        </w:rPr>
        <w:t xml:space="preserve"> for</w:t>
      </w:r>
      <w:r w:rsidR="002E4E29" w:rsidRPr="00C84133">
        <w:rPr>
          <w:bCs/>
          <w:lang w:val="en-GB"/>
        </w:rPr>
        <w:t xml:space="preserve"> </w:t>
      </w:r>
      <w:r>
        <w:rPr>
          <w:bCs/>
          <w:lang w:val="en-GB"/>
        </w:rPr>
        <w:t>an individual year of reinsurance</w:t>
      </w:r>
      <w:r w:rsidR="002E4E29" w:rsidRPr="00C84133">
        <w:rPr>
          <w:bCs/>
          <w:lang w:val="en-GB"/>
        </w:rPr>
        <w:t>,</w:t>
      </w:r>
    </w:p>
    <w:p w14:paraId="209B35E9" w14:textId="50A7EF26" w:rsidR="002E4E29" w:rsidRPr="00C84133" w:rsidRDefault="00790722" w:rsidP="00A007AE">
      <w:pPr>
        <w:numPr>
          <w:ilvl w:val="0"/>
          <w:numId w:val="16"/>
        </w:numPr>
        <w:spacing w:after="0" w:line="240" w:lineRule="atLeast"/>
        <w:ind w:left="426" w:hanging="284"/>
        <w:rPr>
          <w:bCs/>
          <w:lang w:val="en-GB"/>
        </w:rPr>
      </w:pPr>
      <w:r>
        <w:rPr>
          <w:bCs/>
          <w:lang w:val="en-GB"/>
        </w:rPr>
        <w:t>HBOR’s</w:t>
      </w:r>
      <w:r w:rsidR="006C0C46">
        <w:rPr>
          <w:bCs/>
          <w:lang w:val="en-GB"/>
        </w:rPr>
        <w:t xml:space="preserve"> </w:t>
      </w:r>
      <w:r>
        <w:rPr>
          <w:bCs/>
          <w:lang w:val="en-GB"/>
        </w:rPr>
        <w:t>currently valid</w:t>
      </w:r>
      <w:r w:rsidR="00082F0E" w:rsidRPr="00C84133">
        <w:rPr>
          <w:bCs/>
          <w:lang w:val="en-GB"/>
        </w:rPr>
        <w:t xml:space="preserve"> </w:t>
      </w:r>
      <w:r>
        <w:rPr>
          <w:bCs/>
          <w:lang w:val="en-GB"/>
        </w:rPr>
        <w:t>Classification of Countries by Risk Categories</w:t>
      </w:r>
      <w:r w:rsidR="002E4E29" w:rsidRPr="00C84133">
        <w:rPr>
          <w:bCs/>
          <w:lang w:val="en-GB"/>
        </w:rPr>
        <w:t>.</w:t>
      </w:r>
    </w:p>
    <w:p w14:paraId="48B58070" w14:textId="6EE8DB1B" w:rsidR="000B3B07" w:rsidRPr="00C84133" w:rsidRDefault="000B3B07" w:rsidP="00D252FB">
      <w:pPr>
        <w:spacing w:after="0" w:line="240" w:lineRule="atLeast"/>
        <w:rPr>
          <w:bCs/>
          <w:lang w:val="en-GB"/>
        </w:rPr>
      </w:pPr>
    </w:p>
    <w:p w14:paraId="23954057" w14:textId="77F2B79D" w:rsidR="00B91B2F" w:rsidRPr="00C84133" w:rsidRDefault="00B91B2F" w:rsidP="00B91B2F">
      <w:pPr>
        <w:spacing w:line="240" w:lineRule="atLeast"/>
        <w:ind w:left="709" w:hanging="283"/>
        <w:rPr>
          <w:b/>
          <w:bCs/>
          <w:lang w:val="en-GB"/>
        </w:rPr>
      </w:pPr>
      <w:r w:rsidRPr="00C84133">
        <w:rPr>
          <w:b/>
          <w:bCs/>
          <w:lang w:val="en-GB"/>
        </w:rPr>
        <w:t>9.</w:t>
      </w:r>
      <w:r w:rsidRPr="00C84133">
        <w:rPr>
          <w:b/>
          <w:bCs/>
          <w:lang w:val="en-GB"/>
        </w:rPr>
        <w:tab/>
        <w:t>Re</w:t>
      </w:r>
      <w:r w:rsidR="00790722">
        <w:rPr>
          <w:b/>
          <w:bCs/>
          <w:lang w:val="en-GB"/>
        </w:rPr>
        <w:t>insured sum</w:t>
      </w:r>
    </w:p>
    <w:p w14:paraId="2FD20BC5" w14:textId="37D4A725" w:rsidR="00B91B2F" w:rsidRPr="00C84133" w:rsidRDefault="00790722" w:rsidP="00A007AE">
      <w:pPr>
        <w:spacing w:after="0" w:line="240" w:lineRule="atLeast"/>
        <w:rPr>
          <w:bCs/>
          <w:szCs w:val="20"/>
          <w:lang w:val="en-GB"/>
        </w:rPr>
      </w:pPr>
      <w:r>
        <w:rPr>
          <w:bCs/>
          <w:szCs w:val="20"/>
          <w:lang w:val="en-GB"/>
        </w:rPr>
        <w:t xml:space="preserve">Cash amount to which </w:t>
      </w:r>
      <w:r w:rsidR="007813E0">
        <w:rPr>
          <w:bCs/>
          <w:szCs w:val="20"/>
          <w:lang w:val="en-GB"/>
        </w:rPr>
        <w:t xml:space="preserve">the </w:t>
      </w:r>
      <w:r>
        <w:rPr>
          <w:bCs/>
          <w:szCs w:val="20"/>
          <w:lang w:val="en-GB"/>
        </w:rPr>
        <w:t>reinsurance is approved under a</w:t>
      </w:r>
      <w:r w:rsidR="00716DFC">
        <w:rPr>
          <w:bCs/>
          <w:szCs w:val="20"/>
          <w:lang w:val="en-GB"/>
        </w:rPr>
        <w:t xml:space="preserve"> single</w:t>
      </w:r>
      <w:r>
        <w:rPr>
          <w:bCs/>
          <w:szCs w:val="20"/>
          <w:lang w:val="en-GB"/>
        </w:rPr>
        <w:t xml:space="preserve"> foreign buyer</w:t>
      </w:r>
      <w:r w:rsidR="00B91B2F" w:rsidRPr="00C84133">
        <w:rPr>
          <w:bCs/>
          <w:szCs w:val="20"/>
          <w:lang w:val="en-GB"/>
        </w:rPr>
        <w:t>.</w:t>
      </w:r>
    </w:p>
    <w:p w14:paraId="762A9B9B" w14:textId="073F32F6" w:rsidR="000B3B07" w:rsidRPr="00C84133" w:rsidRDefault="000B3B07" w:rsidP="00D252FB">
      <w:pPr>
        <w:spacing w:after="0" w:line="240" w:lineRule="atLeast"/>
        <w:rPr>
          <w:bCs/>
          <w:szCs w:val="20"/>
          <w:lang w:val="en-GB"/>
        </w:rPr>
      </w:pPr>
    </w:p>
    <w:p w14:paraId="2256FA1E" w14:textId="4178DA47" w:rsidR="00B91B2F" w:rsidRPr="00C84133" w:rsidRDefault="00B91B2F" w:rsidP="00A007AE">
      <w:pPr>
        <w:spacing w:line="240" w:lineRule="atLeast"/>
        <w:ind w:left="709" w:hanging="283"/>
        <w:rPr>
          <w:b/>
          <w:bCs/>
          <w:lang w:val="en-GB"/>
        </w:rPr>
      </w:pPr>
      <w:r w:rsidRPr="00C84133">
        <w:rPr>
          <w:b/>
          <w:bCs/>
          <w:lang w:val="en-GB"/>
        </w:rPr>
        <w:t>10.</w:t>
      </w:r>
      <w:r w:rsidRPr="00C84133">
        <w:rPr>
          <w:b/>
          <w:bCs/>
          <w:lang w:val="en-GB"/>
        </w:rPr>
        <w:tab/>
      </w:r>
      <w:r w:rsidR="00790722">
        <w:rPr>
          <w:b/>
          <w:bCs/>
          <w:lang w:val="en-GB"/>
        </w:rPr>
        <w:t>Reinsurance premium</w:t>
      </w:r>
    </w:p>
    <w:p w14:paraId="7DC6129B" w14:textId="19708ED1" w:rsidR="00B91B2F" w:rsidRPr="00C84133" w:rsidRDefault="00790722" w:rsidP="00B91B2F">
      <w:pPr>
        <w:spacing w:after="0" w:line="240" w:lineRule="atLeast"/>
        <w:rPr>
          <w:bCs/>
          <w:szCs w:val="20"/>
          <w:lang w:val="en-GB"/>
        </w:rPr>
      </w:pPr>
      <w:r>
        <w:rPr>
          <w:bCs/>
          <w:szCs w:val="20"/>
          <w:lang w:val="en-GB"/>
        </w:rPr>
        <w:t>The insurance company pays to</w:t>
      </w:r>
      <w:r w:rsidR="00B91B2F" w:rsidRPr="00C84133">
        <w:rPr>
          <w:bCs/>
          <w:szCs w:val="20"/>
          <w:lang w:val="en-GB"/>
        </w:rPr>
        <w:t xml:space="preserve"> HBOR</w:t>
      </w:r>
      <w:r>
        <w:rPr>
          <w:bCs/>
          <w:szCs w:val="20"/>
          <w:lang w:val="en-GB"/>
        </w:rPr>
        <w:t xml:space="preserve"> as the reinsurer a percentage of </w:t>
      </w:r>
      <w:r w:rsidR="00471B6D">
        <w:rPr>
          <w:bCs/>
          <w:szCs w:val="20"/>
          <w:lang w:val="en-GB"/>
        </w:rPr>
        <w:t xml:space="preserve">the </w:t>
      </w:r>
      <w:r w:rsidR="00BB0B57">
        <w:rPr>
          <w:bCs/>
          <w:szCs w:val="20"/>
          <w:lang w:val="en-GB"/>
        </w:rPr>
        <w:t xml:space="preserve">insurance </w:t>
      </w:r>
      <w:r w:rsidR="005E7A9F">
        <w:rPr>
          <w:bCs/>
          <w:szCs w:val="20"/>
          <w:lang w:val="en-GB"/>
        </w:rPr>
        <w:t xml:space="preserve">premium </w:t>
      </w:r>
      <w:r w:rsidR="00BB0B57">
        <w:rPr>
          <w:bCs/>
          <w:szCs w:val="20"/>
          <w:lang w:val="en-GB"/>
        </w:rPr>
        <w:t xml:space="preserve">charged for </w:t>
      </w:r>
      <w:r w:rsidR="00471B6D">
        <w:rPr>
          <w:bCs/>
          <w:szCs w:val="20"/>
          <w:lang w:val="en-GB"/>
        </w:rPr>
        <w:t xml:space="preserve">non-market commercial and political risks reinsured </w:t>
      </w:r>
      <w:r w:rsidR="007813E0">
        <w:rPr>
          <w:bCs/>
          <w:szCs w:val="20"/>
          <w:lang w:val="en-GB"/>
        </w:rPr>
        <w:t>with</w:t>
      </w:r>
      <w:r w:rsidR="00B91B2F" w:rsidRPr="00C84133">
        <w:rPr>
          <w:bCs/>
          <w:szCs w:val="20"/>
          <w:lang w:val="en-GB"/>
        </w:rPr>
        <w:t xml:space="preserve"> HBOR, </w:t>
      </w:r>
      <w:r w:rsidR="00471B6D">
        <w:rPr>
          <w:bCs/>
          <w:szCs w:val="20"/>
          <w:lang w:val="en-GB"/>
        </w:rPr>
        <w:t>in accordance with the reinsurer’s determined level of coverage</w:t>
      </w:r>
      <w:r w:rsidR="00B91B2F" w:rsidRPr="00C84133">
        <w:rPr>
          <w:bCs/>
          <w:szCs w:val="20"/>
          <w:lang w:val="en-GB"/>
        </w:rPr>
        <w:t>.</w:t>
      </w:r>
    </w:p>
    <w:p w14:paraId="32C4CFFA" w14:textId="56722DC7" w:rsidR="00B91B2F" w:rsidRPr="00C84133" w:rsidRDefault="00B91B2F" w:rsidP="00B91B2F">
      <w:pPr>
        <w:spacing w:after="0" w:line="240" w:lineRule="atLeast"/>
        <w:rPr>
          <w:bCs/>
          <w:szCs w:val="20"/>
          <w:lang w:val="en-GB"/>
        </w:rPr>
      </w:pPr>
    </w:p>
    <w:p w14:paraId="6081F5DF" w14:textId="27143BAD" w:rsidR="00471B6D" w:rsidRPr="00C84133" w:rsidRDefault="00471B6D" w:rsidP="00471B6D">
      <w:pPr>
        <w:spacing w:after="0" w:line="240" w:lineRule="atLeast"/>
        <w:rPr>
          <w:bCs/>
          <w:szCs w:val="20"/>
          <w:lang w:val="en-GB"/>
        </w:rPr>
      </w:pPr>
      <w:r>
        <w:rPr>
          <w:bCs/>
          <w:szCs w:val="20"/>
          <w:lang w:val="en-GB"/>
        </w:rPr>
        <w:t xml:space="preserve">The insurance company pays to </w:t>
      </w:r>
      <w:r w:rsidR="008E79C0" w:rsidRPr="00C84133">
        <w:rPr>
          <w:bCs/>
          <w:szCs w:val="20"/>
          <w:lang w:val="en-GB"/>
        </w:rPr>
        <w:t>HBOR</w:t>
      </w:r>
      <w:r>
        <w:rPr>
          <w:bCs/>
          <w:szCs w:val="20"/>
          <w:lang w:val="en-GB"/>
        </w:rPr>
        <w:t xml:space="preserve"> as the reinsurer </w:t>
      </w:r>
      <w:r w:rsidR="007813E0">
        <w:rPr>
          <w:bCs/>
          <w:szCs w:val="20"/>
          <w:lang w:val="en-GB"/>
        </w:rPr>
        <w:t>a</w:t>
      </w:r>
      <w:r>
        <w:rPr>
          <w:bCs/>
          <w:szCs w:val="20"/>
          <w:lang w:val="en-GB"/>
        </w:rPr>
        <w:t xml:space="preserve"> percentage of the insurance premium charged, plus</w:t>
      </w:r>
      <w:r w:rsidR="008E79C0" w:rsidRPr="00C84133">
        <w:rPr>
          <w:bCs/>
          <w:szCs w:val="20"/>
          <w:lang w:val="en-GB"/>
        </w:rPr>
        <w:t xml:space="preserve"> 30% </w:t>
      </w:r>
      <w:r>
        <w:rPr>
          <w:bCs/>
          <w:szCs w:val="20"/>
          <w:lang w:val="en-GB"/>
        </w:rPr>
        <w:t>for temporarily non-market commercial and political risks that are reinsured with</w:t>
      </w:r>
      <w:r w:rsidR="008E79C0" w:rsidRPr="00C84133">
        <w:rPr>
          <w:bCs/>
          <w:szCs w:val="20"/>
          <w:lang w:val="en-GB"/>
        </w:rPr>
        <w:t xml:space="preserve"> HBOR, </w:t>
      </w:r>
      <w:r>
        <w:rPr>
          <w:bCs/>
          <w:szCs w:val="20"/>
          <w:lang w:val="en-GB"/>
        </w:rPr>
        <w:t>in accordance with the reinsurer’s determined level of coverage</w:t>
      </w:r>
      <w:r w:rsidRPr="00C84133">
        <w:rPr>
          <w:bCs/>
          <w:szCs w:val="20"/>
          <w:lang w:val="en-GB"/>
        </w:rPr>
        <w:t>.</w:t>
      </w:r>
    </w:p>
    <w:p w14:paraId="25EC94C2" w14:textId="21DE16AC" w:rsidR="008E79C0" w:rsidRPr="00C84133" w:rsidRDefault="008E79C0" w:rsidP="008E79C0">
      <w:pPr>
        <w:spacing w:after="0" w:line="240" w:lineRule="atLeast"/>
        <w:rPr>
          <w:bCs/>
          <w:szCs w:val="20"/>
          <w:lang w:val="en-GB"/>
        </w:rPr>
      </w:pPr>
      <w:r w:rsidRPr="00C84133">
        <w:rPr>
          <w:bCs/>
          <w:szCs w:val="20"/>
          <w:lang w:val="en-GB"/>
        </w:rPr>
        <w:t xml:space="preserve"> </w:t>
      </w:r>
    </w:p>
    <w:p w14:paraId="78E5EAC7" w14:textId="4741DB9D" w:rsidR="00B91B2F" w:rsidRPr="00471B6D" w:rsidRDefault="00B91B2F" w:rsidP="00B91B2F">
      <w:pPr>
        <w:ind w:left="709" w:hanging="283"/>
        <w:rPr>
          <w:rFonts w:ascii="Calibri" w:hAnsi="Calibri"/>
          <w:b/>
          <w:lang w:val="en-GB"/>
        </w:rPr>
      </w:pPr>
      <w:r>
        <w:rPr>
          <w:rFonts w:ascii="Calibri" w:hAnsi="Calibri"/>
          <w:b/>
        </w:rPr>
        <w:t>11.</w:t>
      </w:r>
      <w:r w:rsidRPr="00471B6D">
        <w:rPr>
          <w:rFonts w:ascii="Calibri" w:hAnsi="Calibri"/>
          <w:b/>
          <w:lang w:val="en-GB"/>
        </w:rPr>
        <w:tab/>
      </w:r>
      <w:r w:rsidR="00471B6D" w:rsidRPr="00471B6D">
        <w:rPr>
          <w:rFonts w:ascii="Calibri" w:hAnsi="Calibri"/>
          <w:b/>
          <w:lang w:val="en-GB"/>
        </w:rPr>
        <w:t>Indemnity under the reinsurance</w:t>
      </w:r>
    </w:p>
    <w:p w14:paraId="276CE009" w14:textId="2D39FF27" w:rsidR="00B91B2F" w:rsidRPr="00471B6D" w:rsidRDefault="00471B6D" w:rsidP="00B91B2F">
      <w:pPr>
        <w:pStyle w:val="Odlomakpopisa"/>
        <w:ind w:left="0"/>
        <w:rPr>
          <w:rFonts w:ascii="Calibri" w:hAnsi="Calibri"/>
          <w:lang w:val="en-GB"/>
        </w:rPr>
      </w:pPr>
      <w:r>
        <w:rPr>
          <w:rFonts w:ascii="Calibri" w:hAnsi="Calibri"/>
          <w:lang w:val="en-GB"/>
        </w:rPr>
        <w:t xml:space="preserve">The cash amount </w:t>
      </w:r>
      <w:r w:rsidR="007813E0">
        <w:rPr>
          <w:rFonts w:ascii="Calibri" w:hAnsi="Calibri"/>
          <w:lang w:val="en-GB"/>
        </w:rPr>
        <w:t>paid to the insurance company by</w:t>
      </w:r>
      <w:r>
        <w:rPr>
          <w:rFonts w:ascii="Calibri" w:hAnsi="Calibri"/>
          <w:lang w:val="en-GB"/>
        </w:rPr>
        <w:t xml:space="preserve"> </w:t>
      </w:r>
      <w:r w:rsidR="00B91B2F" w:rsidRPr="00471B6D">
        <w:rPr>
          <w:rFonts w:ascii="Calibri" w:hAnsi="Calibri"/>
          <w:lang w:val="en-GB"/>
        </w:rPr>
        <w:t>HBOR</w:t>
      </w:r>
      <w:r>
        <w:rPr>
          <w:rFonts w:ascii="Calibri" w:hAnsi="Calibri"/>
          <w:lang w:val="en-GB"/>
        </w:rPr>
        <w:t xml:space="preserve"> as the reinsurer</w:t>
      </w:r>
      <w:r w:rsidR="003F501F">
        <w:rPr>
          <w:rFonts w:ascii="Calibri" w:hAnsi="Calibri"/>
          <w:lang w:val="en-GB"/>
        </w:rPr>
        <w:t>,</w:t>
      </w:r>
      <w:r>
        <w:rPr>
          <w:rFonts w:ascii="Calibri" w:hAnsi="Calibri"/>
          <w:lang w:val="en-GB"/>
        </w:rPr>
        <w:t xml:space="preserve"> </w:t>
      </w:r>
      <w:r w:rsidR="007813E0">
        <w:rPr>
          <w:rFonts w:ascii="Calibri" w:hAnsi="Calibri"/>
          <w:lang w:val="en-GB"/>
        </w:rPr>
        <w:t>related</w:t>
      </w:r>
      <w:r w:rsidR="00C4528F">
        <w:rPr>
          <w:rFonts w:ascii="Calibri" w:hAnsi="Calibri"/>
          <w:lang w:val="en-GB"/>
        </w:rPr>
        <w:t xml:space="preserve"> to the occurrence of</w:t>
      </w:r>
      <w:r w:rsidR="00B91B2F" w:rsidRPr="00471B6D">
        <w:rPr>
          <w:rFonts w:ascii="Calibri" w:hAnsi="Calibri"/>
          <w:lang w:val="en-GB"/>
        </w:rPr>
        <w:t xml:space="preserve"> re</w:t>
      </w:r>
      <w:r w:rsidR="00C4528F">
        <w:rPr>
          <w:rFonts w:ascii="Calibri" w:hAnsi="Calibri"/>
          <w:lang w:val="en-GB"/>
        </w:rPr>
        <w:t xml:space="preserve">insured risks pursuant to the concluded reinsurance contract, due to which </w:t>
      </w:r>
      <w:r w:rsidR="003F501F">
        <w:rPr>
          <w:rFonts w:ascii="Calibri" w:hAnsi="Calibri"/>
          <w:lang w:val="en-GB"/>
        </w:rPr>
        <w:t xml:space="preserve">risks </w:t>
      </w:r>
      <w:r w:rsidR="00C4528F">
        <w:rPr>
          <w:rFonts w:ascii="Calibri" w:hAnsi="Calibri"/>
          <w:lang w:val="en-GB"/>
        </w:rPr>
        <w:t>the insurance company paid indemnity to the insured upon the claim submitted to the insurer after the expiry of the waiting period of at least</w:t>
      </w:r>
      <w:r w:rsidR="00B91B2F" w:rsidRPr="00471B6D">
        <w:rPr>
          <w:rFonts w:ascii="Calibri" w:hAnsi="Calibri"/>
          <w:lang w:val="en-GB"/>
        </w:rPr>
        <w:t xml:space="preserve"> 3 m</w:t>
      </w:r>
      <w:r w:rsidR="00C4528F">
        <w:rPr>
          <w:rFonts w:ascii="Calibri" w:hAnsi="Calibri"/>
          <w:lang w:val="en-GB"/>
        </w:rPr>
        <w:t>onths</w:t>
      </w:r>
      <w:r w:rsidR="00B91B2F" w:rsidRPr="00471B6D">
        <w:rPr>
          <w:rFonts w:ascii="Calibri" w:hAnsi="Calibri"/>
          <w:lang w:val="en-GB"/>
        </w:rPr>
        <w:t>.</w:t>
      </w:r>
    </w:p>
    <w:p w14:paraId="16DB89F8" w14:textId="21336D36" w:rsidR="00B91B2F" w:rsidRPr="00471B6D" w:rsidRDefault="00B91B2F" w:rsidP="00B91B2F">
      <w:pPr>
        <w:ind w:left="709" w:hanging="283"/>
        <w:rPr>
          <w:rFonts w:ascii="Calibri" w:hAnsi="Calibri"/>
          <w:b/>
          <w:bCs/>
          <w:lang w:val="en-GB"/>
        </w:rPr>
      </w:pPr>
      <w:r w:rsidRPr="00471B6D">
        <w:rPr>
          <w:rFonts w:ascii="Calibri" w:hAnsi="Calibri"/>
          <w:b/>
          <w:bCs/>
          <w:lang w:val="en-GB"/>
        </w:rPr>
        <w:t>12.</w:t>
      </w:r>
      <w:r w:rsidRPr="00471B6D">
        <w:rPr>
          <w:rFonts w:ascii="Calibri" w:hAnsi="Calibri"/>
          <w:b/>
          <w:bCs/>
          <w:lang w:val="en-GB"/>
        </w:rPr>
        <w:tab/>
      </w:r>
      <w:r w:rsidR="00C4528F">
        <w:rPr>
          <w:rFonts w:ascii="Calibri" w:hAnsi="Calibri"/>
          <w:b/>
          <w:bCs/>
          <w:lang w:val="en-GB"/>
        </w:rPr>
        <w:t xml:space="preserve">Obligation of reporting </w:t>
      </w:r>
    </w:p>
    <w:p w14:paraId="7F48BA9E" w14:textId="382A44B3" w:rsidR="00B91B2F" w:rsidRPr="00471B6D" w:rsidRDefault="00C4528F" w:rsidP="00B91B2F">
      <w:pPr>
        <w:spacing w:after="0" w:line="240" w:lineRule="atLeast"/>
        <w:rPr>
          <w:bCs/>
          <w:szCs w:val="20"/>
          <w:lang w:val="en-GB"/>
        </w:rPr>
      </w:pPr>
      <w:r>
        <w:rPr>
          <w:bCs/>
          <w:szCs w:val="20"/>
          <w:lang w:val="en-GB"/>
        </w:rPr>
        <w:t xml:space="preserve">In accordance with the </w:t>
      </w:r>
      <w:r w:rsidR="003F501F">
        <w:rPr>
          <w:bCs/>
          <w:szCs w:val="20"/>
          <w:lang w:val="en-GB"/>
        </w:rPr>
        <w:t>deadlines</w:t>
      </w:r>
      <w:r>
        <w:rPr>
          <w:bCs/>
          <w:szCs w:val="20"/>
          <w:lang w:val="en-GB"/>
        </w:rPr>
        <w:t xml:space="preserve"> </w:t>
      </w:r>
      <w:r w:rsidR="006B6D6C">
        <w:rPr>
          <w:bCs/>
          <w:szCs w:val="20"/>
          <w:lang w:val="en-GB"/>
        </w:rPr>
        <w:t>defined by the reinsurance contract</w:t>
      </w:r>
      <w:r w:rsidR="00B91B2F" w:rsidRPr="00471B6D">
        <w:rPr>
          <w:bCs/>
          <w:szCs w:val="20"/>
          <w:lang w:val="en-GB"/>
        </w:rPr>
        <w:t xml:space="preserve">, </w:t>
      </w:r>
      <w:r w:rsidR="006B6D6C">
        <w:rPr>
          <w:bCs/>
          <w:szCs w:val="20"/>
          <w:lang w:val="en-GB"/>
        </w:rPr>
        <w:t>the reinsurance company is obliged, upon the expiry of each individual quarter, to submit to</w:t>
      </w:r>
      <w:r w:rsidR="00B91B2F" w:rsidRPr="00471B6D">
        <w:rPr>
          <w:bCs/>
          <w:szCs w:val="20"/>
          <w:lang w:val="en-GB"/>
        </w:rPr>
        <w:t xml:space="preserve"> HBOR</w:t>
      </w:r>
      <w:r w:rsidR="006B6D6C">
        <w:rPr>
          <w:bCs/>
          <w:szCs w:val="20"/>
          <w:lang w:val="en-GB"/>
        </w:rPr>
        <w:t xml:space="preserve"> as the reinsurer</w:t>
      </w:r>
      <w:r w:rsidR="003F501F">
        <w:rPr>
          <w:bCs/>
          <w:szCs w:val="20"/>
          <w:lang w:val="en-GB"/>
        </w:rPr>
        <w:t xml:space="preserve"> the</w:t>
      </w:r>
      <w:r w:rsidR="006B6D6C">
        <w:rPr>
          <w:bCs/>
          <w:szCs w:val="20"/>
          <w:lang w:val="en-GB"/>
        </w:rPr>
        <w:t xml:space="preserve"> information on exposure</w:t>
      </w:r>
      <w:r w:rsidR="00B91B2F" w:rsidRPr="00471B6D">
        <w:rPr>
          <w:bCs/>
          <w:szCs w:val="20"/>
          <w:lang w:val="en-GB"/>
        </w:rPr>
        <w:t xml:space="preserve">, </w:t>
      </w:r>
      <w:r w:rsidR="00DB07F7">
        <w:rPr>
          <w:bCs/>
          <w:szCs w:val="20"/>
          <w:lang w:val="en-GB"/>
        </w:rPr>
        <w:t>insured turnover</w:t>
      </w:r>
      <w:r w:rsidR="00B91B2F" w:rsidRPr="00471B6D">
        <w:rPr>
          <w:bCs/>
          <w:szCs w:val="20"/>
          <w:lang w:val="en-GB"/>
        </w:rPr>
        <w:t xml:space="preserve">, </w:t>
      </w:r>
      <w:r w:rsidR="00DB07F7">
        <w:rPr>
          <w:bCs/>
          <w:szCs w:val="20"/>
          <w:lang w:val="en-GB"/>
        </w:rPr>
        <w:t>received delays in payment</w:t>
      </w:r>
      <w:r w:rsidR="00B91B2F" w:rsidRPr="00471B6D">
        <w:rPr>
          <w:bCs/>
          <w:szCs w:val="20"/>
          <w:lang w:val="en-GB"/>
        </w:rPr>
        <w:t xml:space="preserve">, </w:t>
      </w:r>
      <w:r w:rsidR="00DB07F7">
        <w:rPr>
          <w:bCs/>
          <w:szCs w:val="20"/>
          <w:lang w:val="en-GB"/>
        </w:rPr>
        <w:t>received claims</w:t>
      </w:r>
      <w:r w:rsidR="00B91B2F" w:rsidRPr="00471B6D">
        <w:rPr>
          <w:bCs/>
          <w:szCs w:val="20"/>
          <w:lang w:val="en-GB"/>
        </w:rPr>
        <w:t xml:space="preserve">, </w:t>
      </w:r>
      <w:r w:rsidR="00DB07F7">
        <w:rPr>
          <w:bCs/>
          <w:szCs w:val="20"/>
          <w:lang w:val="en-GB"/>
        </w:rPr>
        <w:t>paid indemnities and recoveries</w:t>
      </w:r>
      <w:r w:rsidR="00B91B2F" w:rsidRPr="00471B6D">
        <w:rPr>
          <w:bCs/>
          <w:szCs w:val="20"/>
          <w:lang w:val="en-GB"/>
        </w:rPr>
        <w:t>.</w:t>
      </w:r>
    </w:p>
    <w:p w14:paraId="59614D65" w14:textId="77777777" w:rsidR="00B91B2F" w:rsidRPr="00471B6D" w:rsidRDefault="00B91B2F" w:rsidP="00B91B2F">
      <w:pPr>
        <w:spacing w:after="0" w:line="240" w:lineRule="atLeast"/>
        <w:rPr>
          <w:bCs/>
          <w:szCs w:val="20"/>
          <w:lang w:val="en-GB"/>
        </w:rPr>
      </w:pPr>
    </w:p>
    <w:p w14:paraId="473C9A5B" w14:textId="381197C5" w:rsidR="0043782D" w:rsidRPr="00471B6D" w:rsidRDefault="0043782D" w:rsidP="0043782D">
      <w:pPr>
        <w:spacing w:line="240" w:lineRule="atLeast"/>
        <w:ind w:left="709" w:hanging="283"/>
        <w:rPr>
          <w:b/>
          <w:bCs/>
          <w:lang w:val="en-GB"/>
        </w:rPr>
      </w:pPr>
      <w:r w:rsidRPr="00471B6D">
        <w:rPr>
          <w:b/>
          <w:bCs/>
          <w:lang w:val="en-GB"/>
        </w:rPr>
        <w:t>1</w:t>
      </w:r>
      <w:r w:rsidR="000373BA" w:rsidRPr="00471B6D">
        <w:rPr>
          <w:b/>
          <w:bCs/>
          <w:lang w:val="en-GB"/>
        </w:rPr>
        <w:t>3</w:t>
      </w:r>
      <w:r w:rsidRPr="00471B6D">
        <w:rPr>
          <w:b/>
          <w:bCs/>
          <w:lang w:val="en-GB"/>
        </w:rPr>
        <w:t xml:space="preserve">. </w:t>
      </w:r>
      <w:r w:rsidR="008E79C0" w:rsidRPr="00471B6D">
        <w:rPr>
          <w:b/>
          <w:bCs/>
          <w:lang w:val="en-GB"/>
        </w:rPr>
        <w:t>O</w:t>
      </w:r>
      <w:r w:rsidR="006000F3">
        <w:rPr>
          <w:b/>
          <w:bCs/>
          <w:lang w:val="en-GB"/>
        </w:rPr>
        <w:t>ther terms and conditions to be regulated by the reinsurance contract</w:t>
      </w:r>
    </w:p>
    <w:p w14:paraId="659ECB84" w14:textId="4E94475F" w:rsidR="005E3E54" w:rsidRPr="00471B6D" w:rsidRDefault="0043782D" w:rsidP="00634023">
      <w:pPr>
        <w:spacing w:line="240" w:lineRule="atLeast"/>
        <w:ind w:left="709" w:hanging="283"/>
        <w:rPr>
          <w:b/>
          <w:bCs/>
          <w:lang w:val="en-GB"/>
        </w:rPr>
      </w:pPr>
      <w:r w:rsidRPr="00471B6D">
        <w:rPr>
          <w:b/>
          <w:bCs/>
          <w:lang w:val="en-GB"/>
        </w:rPr>
        <w:t>1</w:t>
      </w:r>
      <w:r w:rsidR="000373BA" w:rsidRPr="00471B6D">
        <w:rPr>
          <w:b/>
          <w:bCs/>
          <w:lang w:val="en-GB"/>
        </w:rPr>
        <w:t>3</w:t>
      </w:r>
      <w:r w:rsidRPr="00471B6D">
        <w:rPr>
          <w:b/>
          <w:bCs/>
          <w:lang w:val="en-GB"/>
        </w:rPr>
        <w:t>.</w:t>
      </w:r>
      <w:r w:rsidR="008E79C0" w:rsidRPr="00471B6D">
        <w:rPr>
          <w:b/>
          <w:bCs/>
          <w:lang w:val="en-GB"/>
        </w:rPr>
        <w:t>1</w:t>
      </w:r>
      <w:r w:rsidRPr="00471B6D">
        <w:rPr>
          <w:b/>
          <w:bCs/>
          <w:lang w:val="en-GB"/>
        </w:rPr>
        <w:t>.</w:t>
      </w:r>
      <w:r w:rsidRPr="00471B6D">
        <w:rPr>
          <w:b/>
          <w:bCs/>
          <w:lang w:val="en-GB"/>
        </w:rPr>
        <w:tab/>
      </w:r>
      <w:r w:rsidR="006000F3">
        <w:rPr>
          <w:b/>
          <w:bCs/>
          <w:lang w:val="en-GB"/>
        </w:rPr>
        <w:t>General limit of reinsurance</w:t>
      </w:r>
    </w:p>
    <w:p w14:paraId="17F28403" w14:textId="7F85CDE2" w:rsidR="008A5A2C" w:rsidRPr="00471B6D" w:rsidRDefault="006000F3" w:rsidP="00634023">
      <w:pPr>
        <w:spacing w:after="0" w:line="240" w:lineRule="atLeast"/>
        <w:rPr>
          <w:bCs/>
          <w:szCs w:val="20"/>
          <w:lang w:val="en-GB"/>
        </w:rPr>
      </w:pPr>
      <w:r>
        <w:rPr>
          <w:bCs/>
          <w:szCs w:val="20"/>
          <w:lang w:val="en-GB"/>
        </w:rPr>
        <w:t>General limit of reinsurance represents</w:t>
      </w:r>
      <w:r w:rsidR="005E3E54" w:rsidRPr="00471B6D">
        <w:rPr>
          <w:bCs/>
          <w:szCs w:val="20"/>
          <w:lang w:val="en-GB"/>
        </w:rPr>
        <w:t xml:space="preserve"> </w:t>
      </w:r>
      <w:r w:rsidR="00087C54">
        <w:rPr>
          <w:bCs/>
          <w:szCs w:val="20"/>
          <w:lang w:val="en-GB"/>
        </w:rPr>
        <w:t xml:space="preserve">the </w:t>
      </w:r>
      <w:r>
        <w:rPr>
          <w:bCs/>
          <w:szCs w:val="20"/>
          <w:lang w:val="en-GB"/>
        </w:rPr>
        <w:t>cumulative gross amount of all</w:t>
      </w:r>
      <w:r w:rsidR="005E3E54" w:rsidRPr="00471B6D">
        <w:rPr>
          <w:bCs/>
          <w:szCs w:val="20"/>
          <w:lang w:val="en-GB"/>
        </w:rPr>
        <w:t xml:space="preserve"> re</w:t>
      </w:r>
      <w:r>
        <w:rPr>
          <w:bCs/>
          <w:szCs w:val="20"/>
          <w:lang w:val="en-GB"/>
        </w:rPr>
        <w:t>insured sums that</w:t>
      </w:r>
      <w:r w:rsidR="005E3E54" w:rsidRPr="00471B6D">
        <w:rPr>
          <w:bCs/>
          <w:szCs w:val="20"/>
          <w:lang w:val="en-GB"/>
        </w:rPr>
        <w:t xml:space="preserve"> HBOR </w:t>
      </w:r>
      <w:r>
        <w:rPr>
          <w:bCs/>
          <w:szCs w:val="20"/>
          <w:lang w:val="en-GB"/>
        </w:rPr>
        <w:t xml:space="preserve">as the reinsurer is ready to reinsure </w:t>
      </w:r>
      <w:r w:rsidR="00B47676">
        <w:rPr>
          <w:bCs/>
          <w:szCs w:val="20"/>
          <w:lang w:val="en-GB"/>
        </w:rPr>
        <w:t xml:space="preserve">based on </w:t>
      </w:r>
      <w:r>
        <w:rPr>
          <w:bCs/>
          <w:szCs w:val="20"/>
          <w:lang w:val="en-GB"/>
        </w:rPr>
        <w:t>the concluded reinsurance contract with the insurance company</w:t>
      </w:r>
      <w:r w:rsidR="008A5A2C" w:rsidRPr="00471B6D">
        <w:rPr>
          <w:bCs/>
          <w:szCs w:val="20"/>
          <w:lang w:val="en-GB"/>
        </w:rPr>
        <w:t>.</w:t>
      </w:r>
    </w:p>
    <w:p w14:paraId="02F3F6DF" w14:textId="77777777" w:rsidR="00ED633B" w:rsidRPr="00471B6D" w:rsidRDefault="00ED633B" w:rsidP="00ED633B">
      <w:pPr>
        <w:spacing w:after="0" w:line="240" w:lineRule="atLeast"/>
        <w:rPr>
          <w:bCs/>
          <w:szCs w:val="20"/>
          <w:lang w:val="en-GB"/>
        </w:rPr>
      </w:pPr>
    </w:p>
    <w:p w14:paraId="645268DB" w14:textId="04625082" w:rsidR="001C3B84" w:rsidRPr="00471B6D" w:rsidRDefault="0043782D" w:rsidP="00ED633B">
      <w:pPr>
        <w:spacing w:line="240" w:lineRule="atLeast"/>
        <w:ind w:left="709" w:hanging="283"/>
        <w:rPr>
          <w:b/>
          <w:bCs/>
          <w:lang w:val="en-GB"/>
        </w:rPr>
      </w:pPr>
      <w:r w:rsidRPr="00471B6D">
        <w:rPr>
          <w:b/>
          <w:bCs/>
          <w:lang w:val="en-GB"/>
        </w:rPr>
        <w:t>1</w:t>
      </w:r>
      <w:r w:rsidR="000373BA" w:rsidRPr="00471B6D">
        <w:rPr>
          <w:b/>
          <w:bCs/>
          <w:lang w:val="en-GB"/>
        </w:rPr>
        <w:t>3</w:t>
      </w:r>
      <w:r w:rsidRPr="00471B6D">
        <w:rPr>
          <w:b/>
          <w:bCs/>
          <w:lang w:val="en-GB"/>
        </w:rPr>
        <w:t>.</w:t>
      </w:r>
      <w:r w:rsidR="008E79C0" w:rsidRPr="00471B6D">
        <w:rPr>
          <w:b/>
          <w:bCs/>
          <w:lang w:val="en-GB"/>
        </w:rPr>
        <w:t>2</w:t>
      </w:r>
      <w:r w:rsidRPr="00471B6D">
        <w:rPr>
          <w:b/>
          <w:bCs/>
          <w:lang w:val="en-GB"/>
        </w:rPr>
        <w:t>.</w:t>
      </w:r>
      <w:r w:rsidRPr="00471B6D">
        <w:rPr>
          <w:b/>
          <w:bCs/>
          <w:lang w:val="en-GB"/>
        </w:rPr>
        <w:tab/>
      </w:r>
      <w:r w:rsidR="004F1F7F" w:rsidRPr="00471B6D">
        <w:rPr>
          <w:b/>
          <w:bCs/>
          <w:lang w:val="en-GB"/>
        </w:rPr>
        <w:t xml:space="preserve">Limit </w:t>
      </w:r>
      <w:r w:rsidR="006000F3">
        <w:rPr>
          <w:b/>
          <w:bCs/>
          <w:lang w:val="en-GB"/>
        </w:rPr>
        <w:t>of reinsurance by countries</w:t>
      </w:r>
    </w:p>
    <w:p w14:paraId="488D7AF8" w14:textId="331CE2C7" w:rsidR="001C3B84" w:rsidRPr="00471B6D" w:rsidRDefault="004F1F7F" w:rsidP="00ED633B">
      <w:pPr>
        <w:spacing w:after="0" w:line="240" w:lineRule="atLeast"/>
        <w:rPr>
          <w:bCs/>
          <w:szCs w:val="20"/>
          <w:lang w:val="en-GB"/>
        </w:rPr>
      </w:pPr>
      <w:r w:rsidRPr="00471B6D">
        <w:rPr>
          <w:bCs/>
          <w:szCs w:val="20"/>
          <w:lang w:val="en-GB"/>
        </w:rPr>
        <w:t xml:space="preserve">Limit </w:t>
      </w:r>
      <w:r w:rsidR="006000F3">
        <w:rPr>
          <w:bCs/>
          <w:szCs w:val="20"/>
          <w:lang w:val="en-GB"/>
        </w:rPr>
        <w:t xml:space="preserve">of reinsurance </w:t>
      </w:r>
      <w:r w:rsidR="00B47676">
        <w:rPr>
          <w:bCs/>
          <w:szCs w:val="20"/>
          <w:lang w:val="en-GB"/>
        </w:rPr>
        <w:t xml:space="preserve">by countries </w:t>
      </w:r>
      <w:r w:rsidR="006000F3">
        <w:rPr>
          <w:bCs/>
          <w:szCs w:val="20"/>
          <w:lang w:val="en-GB"/>
        </w:rPr>
        <w:t xml:space="preserve">represents </w:t>
      </w:r>
      <w:r w:rsidR="00087C54">
        <w:rPr>
          <w:bCs/>
          <w:szCs w:val="20"/>
          <w:lang w:val="en-GB"/>
        </w:rPr>
        <w:t xml:space="preserve">the </w:t>
      </w:r>
      <w:r w:rsidR="00B47676">
        <w:rPr>
          <w:bCs/>
          <w:szCs w:val="20"/>
          <w:lang w:val="en-GB"/>
        </w:rPr>
        <w:t xml:space="preserve">cumulative gross </w:t>
      </w:r>
      <w:proofErr w:type="gramStart"/>
      <w:r w:rsidR="00B47676">
        <w:rPr>
          <w:bCs/>
          <w:szCs w:val="20"/>
          <w:lang w:val="en-GB"/>
        </w:rPr>
        <w:t>amount</w:t>
      </w:r>
      <w:proofErr w:type="gramEnd"/>
      <w:r w:rsidR="00B47676">
        <w:rPr>
          <w:bCs/>
          <w:szCs w:val="20"/>
          <w:lang w:val="en-GB"/>
        </w:rPr>
        <w:t xml:space="preserve"> of reinsured sums by an individual country that</w:t>
      </w:r>
      <w:r w:rsidR="001C3B84" w:rsidRPr="00471B6D">
        <w:rPr>
          <w:bCs/>
          <w:szCs w:val="20"/>
          <w:lang w:val="en-GB"/>
        </w:rPr>
        <w:t xml:space="preserve"> HBOR </w:t>
      </w:r>
      <w:r w:rsidR="00B47676">
        <w:rPr>
          <w:bCs/>
          <w:szCs w:val="20"/>
          <w:lang w:val="en-GB"/>
        </w:rPr>
        <w:t>as the reinsurer is ready to reinsure</w:t>
      </w:r>
      <w:r w:rsidR="001C3B84" w:rsidRPr="00471B6D">
        <w:rPr>
          <w:bCs/>
          <w:szCs w:val="20"/>
          <w:lang w:val="en-GB"/>
        </w:rPr>
        <w:t xml:space="preserve"> </w:t>
      </w:r>
      <w:r w:rsidR="00B47676">
        <w:rPr>
          <w:bCs/>
          <w:szCs w:val="20"/>
          <w:lang w:val="en-GB"/>
        </w:rPr>
        <w:t>based on the concluded reinsurance contract with the insurance company</w:t>
      </w:r>
      <w:r w:rsidR="001C3B84" w:rsidRPr="00471B6D">
        <w:rPr>
          <w:bCs/>
          <w:szCs w:val="20"/>
          <w:lang w:val="en-GB"/>
        </w:rPr>
        <w:t>.</w:t>
      </w:r>
    </w:p>
    <w:p w14:paraId="757CCF47" w14:textId="16DFA388" w:rsidR="0043782D" w:rsidRPr="00471B6D" w:rsidRDefault="0043782D" w:rsidP="00ED633B">
      <w:pPr>
        <w:spacing w:after="0" w:line="240" w:lineRule="atLeast"/>
        <w:rPr>
          <w:bCs/>
          <w:szCs w:val="20"/>
          <w:lang w:val="en-GB"/>
        </w:rPr>
      </w:pPr>
    </w:p>
    <w:p w14:paraId="576AB536" w14:textId="21482FE8" w:rsidR="001C3B84" w:rsidRPr="00471B6D" w:rsidRDefault="0043782D" w:rsidP="00092AAB">
      <w:pPr>
        <w:spacing w:line="240" w:lineRule="atLeast"/>
        <w:ind w:left="709" w:hanging="283"/>
        <w:rPr>
          <w:b/>
          <w:bCs/>
          <w:lang w:val="en-GB"/>
        </w:rPr>
      </w:pPr>
      <w:r w:rsidRPr="00471B6D">
        <w:rPr>
          <w:b/>
          <w:bCs/>
          <w:lang w:val="en-GB"/>
        </w:rPr>
        <w:t>1</w:t>
      </w:r>
      <w:r w:rsidR="000373BA" w:rsidRPr="00471B6D">
        <w:rPr>
          <w:b/>
          <w:bCs/>
          <w:lang w:val="en-GB"/>
        </w:rPr>
        <w:t>3</w:t>
      </w:r>
      <w:r w:rsidRPr="00471B6D">
        <w:rPr>
          <w:b/>
          <w:bCs/>
          <w:lang w:val="en-GB"/>
        </w:rPr>
        <w:t>.</w:t>
      </w:r>
      <w:r w:rsidR="008E79C0" w:rsidRPr="00471B6D">
        <w:rPr>
          <w:b/>
          <w:bCs/>
          <w:lang w:val="en-GB"/>
        </w:rPr>
        <w:t>3</w:t>
      </w:r>
      <w:r w:rsidR="001C3B84" w:rsidRPr="00471B6D">
        <w:rPr>
          <w:b/>
          <w:bCs/>
          <w:lang w:val="en-GB"/>
        </w:rPr>
        <w:t>.</w:t>
      </w:r>
      <w:r w:rsidRPr="00471B6D">
        <w:rPr>
          <w:b/>
          <w:bCs/>
          <w:lang w:val="en-GB"/>
        </w:rPr>
        <w:tab/>
      </w:r>
      <w:r w:rsidR="004F1F7F" w:rsidRPr="00471B6D">
        <w:rPr>
          <w:b/>
          <w:bCs/>
          <w:lang w:val="en-GB"/>
        </w:rPr>
        <w:t>Limit</w:t>
      </w:r>
      <w:r w:rsidR="00B47676">
        <w:rPr>
          <w:b/>
          <w:bCs/>
          <w:lang w:val="en-GB"/>
        </w:rPr>
        <w:t xml:space="preserve"> of</w:t>
      </w:r>
      <w:r w:rsidR="004F1F7F" w:rsidRPr="00471B6D">
        <w:rPr>
          <w:b/>
          <w:bCs/>
          <w:lang w:val="en-GB"/>
        </w:rPr>
        <w:t xml:space="preserve"> re</w:t>
      </w:r>
      <w:r w:rsidR="00B47676">
        <w:rPr>
          <w:b/>
          <w:bCs/>
          <w:lang w:val="en-GB"/>
        </w:rPr>
        <w:t>insurance by an individual foreign buyer</w:t>
      </w:r>
    </w:p>
    <w:p w14:paraId="79A1DA98" w14:textId="640E8174" w:rsidR="00B47676" w:rsidRPr="00471B6D" w:rsidRDefault="004F1F7F" w:rsidP="00B47676">
      <w:pPr>
        <w:spacing w:after="0" w:line="240" w:lineRule="atLeast"/>
        <w:rPr>
          <w:bCs/>
          <w:szCs w:val="20"/>
          <w:lang w:val="en-GB"/>
        </w:rPr>
      </w:pPr>
      <w:r w:rsidRPr="00471B6D">
        <w:rPr>
          <w:bCs/>
          <w:szCs w:val="20"/>
          <w:lang w:val="en-GB"/>
        </w:rPr>
        <w:t>Limit</w:t>
      </w:r>
      <w:r w:rsidR="00B47676">
        <w:rPr>
          <w:bCs/>
          <w:szCs w:val="20"/>
          <w:lang w:val="en-GB"/>
        </w:rPr>
        <w:t xml:space="preserve"> of reinsurance by an individual foreign buyer represents </w:t>
      </w:r>
      <w:r w:rsidR="00F24AA8">
        <w:rPr>
          <w:bCs/>
          <w:szCs w:val="20"/>
          <w:lang w:val="en-GB"/>
        </w:rPr>
        <w:t xml:space="preserve">the </w:t>
      </w:r>
      <w:r w:rsidR="00B47676">
        <w:rPr>
          <w:bCs/>
          <w:szCs w:val="20"/>
          <w:lang w:val="en-GB"/>
        </w:rPr>
        <w:t xml:space="preserve">cumulative gross </w:t>
      </w:r>
      <w:proofErr w:type="gramStart"/>
      <w:r w:rsidR="00B47676">
        <w:rPr>
          <w:bCs/>
          <w:szCs w:val="20"/>
          <w:lang w:val="en-GB"/>
        </w:rPr>
        <w:t>amount</w:t>
      </w:r>
      <w:proofErr w:type="gramEnd"/>
      <w:r w:rsidR="00B47676">
        <w:rPr>
          <w:bCs/>
          <w:szCs w:val="20"/>
          <w:lang w:val="en-GB"/>
        </w:rPr>
        <w:t xml:space="preserve"> of reinsured sums by an individual foreign buyer that</w:t>
      </w:r>
      <w:r w:rsidR="00550A71" w:rsidRPr="00471B6D">
        <w:rPr>
          <w:bCs/>
          <w:szCs w:val="20"/>
          <w:lang w:val="en-GB"/>
        </w:rPr>
        <w:t xml:space="preserve"> HBOR </w:t>
      </w:r>
      <w:r w:rsidR="00B47676">
        <w:rPr>
          <w:bCs/>
          <w:szCs w:val="20"/>
          <w:lang w:val="en-GB"/>
        </w:rPr>
        <w:t>as the reinsurer is ready to reinsure</w:t>
      </w:r>
      <w:r w:rsidR="00B47676" w:rsidRPr="00471B6D">
        <w:rPr>
          <w:bCs/>
          <w:szCs w:val="20"/>
          <w:lang w:val="en-GB"/>
        </w:rPr>
        <w:t xml:space="preserve"> </w:t>
      </w:r>
      <w:r w:rsidR="00B47676">
        <w:rPr>
          <w:bCs/>
          <w:szCs w:val="20"/>
          <w:lang w:val="en-GB"/>
        </w:rPr>
        <w:t>based on the concluded reinsurance contract with the insurance company</w:t>
      </w:r>
      <w:r w:rsidR="00B47676" w:rsidRPr="00471B6D">
        <w:rPr>
          <w:bCs/>
          <w:szCs w:val="20"/>
          <w:lang w:val="en-GB"/>
        </w:rPr>
        <w:t>.</w:t>
      </w:r>
    </w:p>
    <w:p w14:paraId="06F9955D" w14:textId="77777777" w:rsidR="007D532E" w:rsidRDefault="007D532E" w:rsidP="00550A71">
      <w:pPr>
        <w:spacing w:after="0" w:line="240" w:lineRule="atLeast"/>
        <w:rPr>
          <w:bCs/>
          <w:szCs w:val="20"/>
        </w:rPr>
      </w:pPr>
    </w:p>
    <w:p w14:paraId="14A9722B" w14:textId="737E34AD" w:rsidR="006E07D6" w:rsidRPr="00471B6D" w:rsidRDefault="0043782D" w:rsidP="006E07D6">
      <w:pPr>
        <w:ind w:left="709" w:hanging="283"/>
        <w:rPr>
          <w:bCs/>
          <w:lang w:val="en-GB"/>
        </w:rPr>
      </w:pPr>
      <w:r w:rsidRPr="00471B6D">
        <w:rPr>
          <w:rFonts w:ascii="Calibri" w:hAnsi="Calibri"/>
          <w:b/>
          <w:bCs/>
          <w:lang w:val="en-GB"/>
        </w:rPr>
        <w:t>1</w:t>
      </w:r>
      <w:r w:rsidR="000373BA" w:rsidRPr="00471B6D">
        <w:rPr>
          <w:rFonts w:ascii="Calibri" w:hAnsi="Calibri"/>
          <w:b/>
          <w:bCs/>
          <w:lang w:val="en-GB"/>
        </w:rPr>
        <w:t>3</w:t>
      </w:r>
      <w:r w:rsidRPr="00471B6D">
        <w:rPr>
          <w:rFonts w:ascii="Calibri" w:hAnsi="Calibri"/>
          <w:b/>
          <w:bCs/>
          <w:lang w:val="en-GB"/>
        </w:rPr>
        <w:t>.</w:t>
      </w:r>
      <w:r w:rsidR="000373BA" w:rsidRPr="00471B6D">
        <w:rPr>
          <w:rFonts w:ascii="Calibri" w:hAnsi="Calibri"/>
          <w:b/>
          <w:bCs/>
          <w:lang w:val="en-GB"/>
        </w:rPr>
        <w:t>4</w:t>
      </w:r>
      <w:r w:rsidRPr="00471B6D">
        <w:rPr>
          <w:rFonts w:ascii="Calibri" w:hAnsi="Calibri"/>
          <w:b/>
          <w:bCs/>
          <w:lang w:val="en-GB"/>
        </w:rPr>
        <w:t>.</w:t>
      </w:r>
      <w:r w:rsidR="006E07D6" w:rsidRPr="00471B6D">
        <w:rPr>
          <w:rFonts w:ascii="Calibri" w:hAnsi="Calibri"/>
          <w:b/>
          <w:bCs/>
          <w:lang w:val="en-GB"/>
        </w:rPr>
        <w:tab/>
      </w:r>
      <w:r w:rsidR="00B47676">
        <w:rPr>
          <w:b/>
          <w:bCs/>
          <w:lang w:val="en-GB"/>
        </w:rPr>
        <w:t xml:space="preserve">Reinsurance </w:t>
      </w:r>
      <w:r w:rsidR="0074551F">
        <w:rPr>
          <w:b/>
          <w:bCs/>
          <w:lang w:val="en-GB"/>
        </w:rPr>
        <w:t>commission</w:t>
      </w:r>
    </w:p>
    <w:p w14:paraId="438DAAD2" w14:textId="0FC433DA" w:rsidR="006E07D6" w:rsidRPr="00471B6D" w:rsidRDefault="00B47676" w:rsidP="00092AAB">
      <w:pPr>
        <w:spacing w:after="0" w:line="240" w:lineRule="atLeast"/>
        <w:rPr>
          <w:bCs/>
          <w:szCs w:val="20"/>
          <w:lang w:val="en-GB"/>
        </w:rPr>
      </w:pPr>
      <w:r>
        <w:rPr>
          <w:bCs/>
          <w:szCs w:val="20"/>
          <w:lang w:val="en-GB"/>
        </w:rPr>
        <w:t>Cash amount</w:t>
      </w:r>
      <w:r w:rsidR="006E07D6" w:rsidRPr="00471B6D">
        <w:rPr>
          <w:bCs/>
          <w:szCs w:val="20"/>
          <w:lang w:val="en-GB"/>
        </w:rPr>
        <w:t xml:space="preserve"> </w:t>
      </w:r>
      <w:r>
        <w:rPr>
          <w:bCs/>
          <w:szCs w:val="20"/>
          <w:lang w:val="en-GB"/>
        </w:rPr>
        <w:t>that</w:t>
      </w:r>
      <w:r w:rsidR="006E07D6" w:rsidRPr="00471B6D">
        <w:rPr>
          <w:bCs/>
          <w:szCs w:val="20"/>
          <w:lang w:val="en-GB"/>
        </w:rPr>
        <w:t xml:space="preserve"> </w:t>
      </w:r>
      <w:r w:rsidR="00465156" w:rsidRPr="00471B6D">
        <w:rPr>
          <w:bCs/>
          <w:szCs w:val="20"/>
          <w:lang w:val="en-GB"/>
        </w:rPr>
        <w:t xml:space="preserve">HBOR </w:t>
      </w:r>
      <w:r>
        <w:rPr>
          <w:bCs/>
          <w:szCs w:val="20"/>
          <w:lang w:val="en-GB"/>
        </w:rPr>
        <w:t>as the reinsurer pays to the insurance company for the coverage of a part of insurance acquisition costs based on the concluded reinsurance contract</w:t>
      </w:r>
      <w:r w:rsidR="006E07D6" w:rsidRPr="00471B6D">
        <w:rPr>
          <w:bCs/>
          <w:szCs w:val="20"/>
          <w:lang w:val="en-GB"/>
        </w:rPr>
        <w:t>.</w:t>
      </w:r>
    </w:p>
    <w:p w14:paraId="0406B0F2" w14:textId="7A529B57" w:rsidR="002942B2" w:rsidRPr="00471B6D" w:rsidRDefault="002942B2" w:rsidP="00092AAB">
      <w:pPr>
        <w:spacing w:after="0" w:line="240" w:lineRule="atLeast"/>
        <w:rPr>
          <w:bCs/>
          <w:szCs w:val="20"/>
          <w:lang w:val="en-GB"/>
        </w:rPr>
      </w:pPr>
    </w:p>
    <w:p w14:paraId="1DDD8F02" w14:textId="021C1FFE" w:rsidR="00D55EEE" w:rsidRPr="00471B6D" w:rsidRDefault="0043782D" w:rsidP="00D55EEE">
      <w:pPr>
        <w:ind w:left="709" w:hanging="283"/>
        <w:rPr>
          <w:rFonts w:ascii="Calibri" w:hAnsi="Calibri"/>
          <w:b/>
          <w:bCs/>
          <w:lang w:val="en-GB"/>
        </w:rPr>
      </w:pPr>
      <w:r w:rsidRPr="00471B6D">
        <w:rPr>
          <w:rFonts w:ascii="Calibri" w:hAnsi="Calibri"/>
          <w:b/>
          <w:bCs/>
          <w:lang w:val="en-GB"/>
        </w:rPr>
        <w:t>1</w:t>
      </w:r>
      <w:r w:rsidR="000373BA" w:rsidRPr="00471B6D">
        <w:rPr>
          <w:rFonts w:ascii="Calibri" w:hAnsi="Calibri"/>
          <w:b/>
          <w:bCs/>
          <w:lang w:val="en-GB"/>
        </w:rPr>
        <w:t>3</w:t>
      </w:r>
      <w:r w:rsidRPr="00471B6D">
        <w:rPr>
          <w:rFonts w:ascii="Calibri" w:hAnsi="Calibri"/>
          <w:b/>
          <w:bCs/>
          <w:lang w:val="en-GB"/>
        </w:rPr>
        <w:t>.</w:t>
      </w:r>
      <w:r w:rsidR="00AA5A2D" w:rsidRPr="00471B6D">
        <w:rPr>
          <w:rFonts w:ascii="Calibri" w:hAnsi="Calibri"/>
          <w:b/>
          <w:bCs/>
          <w:lang w:val="en-GB"/>
        </w:rPr>
        <w:t>5</w:t>
      </w:r>
      <w:r w:rsidRPr="00471B6D">
        <w:rPr>
          <w:rFonts w:ascii="Calibri" w:hAnsi="Calibri"/>
          <w:b/>
          <w:bCs/>
          <w:lang w:val="en-GB"/>
        </w:rPr>
        <w:t>.</w:t>
      </w:r>
      <w:r w:rsidRPr="00471B6D">
        <w:rPr>
          <w:rFonts w:ascii="Calibri" w:hAnsi="Calibri"/>
          <w:b/>
          <w:bCs/>
          <w:lang w:val="en-GB"/>
        </w:rPr>
        <w:tab/>
      </w:r>
      <w:r w:rsidR="00D55EEE" w:rsidRPr="00471B6D">
        <w:rPr>
          <w:rFonts w:ascii="Calibri" w:hAnsi="Calibri"/>
          <w:b/>
          <w:bCs/>
          <w:lang w:val="en-GB"/>
        </w:rPr>
        <w:t xml:space="preserve"> Re</w:t>
      </w:r>
      <w:r w:rsidR="00B47676">
        <w:rPr>
          <w:rFonts w:ascii="Calibri" w:hAnsi="Calibri"/>
          <w:b/>
          <w:bCs/>
          <w:lang w:val="en-GB"/>
        </w:rPr>
        <w:t>insurance year</w:t>
      </w:r>
    </w:p>
    <w:p w14:paraId="14BA5387" w14:textId="2744BB3A" w:rsidR="00E92241" w:rsidRPr="00471B6D" w:rsidRDefault="00B47676" w:rsidP="00ED633B">
      <w:pPr>
        <w:spacing w:after="0" w:line="240" w:lineRule="atLeast"/>
        <w:rPr>
          <w:bCs/>
          <w:szCs w:val="20"/>
          <w:lang w:val="en-GB"/>
        </w:rPr>
      </w:pPr>
      <w:r>
        <w:rPr>
          <w:bCs/>
          <w:szCs w:val="20"/>
          <w:lang w:val="en-GB"/>
        </w:rPr>
        <w:t>Reinsurance period of</w:t>
      </w:r>
      <w:r w:rsidR="00D55EEE" w:rsidRPr="00471B6D">
        <w:rPr>
          <w:bCs/>
          <w:szCs w:val="20"/>
          <w:lang w:val="en-GB"/>
        </w:rPr>
        <w:t xml:space="preserve"> 12 m</w:t>
      </w:r>
      <w:r>
        <w:rPr>
          <w:bCs/>
          <w:szCs w:val="20"/>
          <w:lang w:val="en-GB"/>
        </w:rPr>
        <w:t xml:space="preserve">onths starting and ending on </w:t>
      </w:r>
      <w:r w:rsidR="003B17F6">
        <w:rPr>
          <w:bCs/>
          <w:szCs w:val="20"/>
          <w:lang w:val="en-GB"/>
        </w:rPr>
        <w:t xml:space="preserve">the </w:t>
      </w:r>
      <w:r>
        <w:rPr>
          <w:bCs/>
          <w:szCs w:val="20"/>
          <w:lang w:val="en-GB"/>
        </w:rPr>
        <w:t>days stated in the reinsurance contract</w:t>
      </w:r>
      <w:r w:rsidR="00D55EEE" w:rsidRPr="00471B6D">
        <w:rPr>
          <w:bCs/>
          <w:szCs w:val="20"/>
          <w:lang w:val="en-GB"/>
        </w:rPr>
        <w:t>.</w:t>
      </w:r>
    </w:p>
    <w:p w14:paraId="7890816A" w14:textId="139B9014" w:rsidR="008E79C0" w:rsidRPr="00471B6D" w:rsidRDefault="008E79C0" w:rsidP="00ED633B">
      <w:pPr>
        <w:spacing w:after="0" w:line="240" w:lineRule="atLeast"/>
        <w:rPr>
          <w:bCs/>
          <w:szCs w:val="20"/>
          <w:lang w:val="en-GB"/>
        </w:rPr>
      </w:pPr>
    </w:p>
    <w:p w14:paraId="72C815B4" w14:textId="57B3410B" w:rsidR="00AA5A2D" w:rsidRPr="00471B6D" w:rsidRDefault="00AA5A2D" w:rsidP="00AA5A2D">
      <w:pPr>
        <w:ind w:left="709" w:hanging="283"/>
        <w:rPr>
          <w:rFonts w:ascii="Calibri" w:hAnsi="Calibri"/>
          <w:b/>
          <w:lang w:val="en-GB"/>
        </w:rPr>
      </w:pPr>
      <w:r w:rsidRPr="00471B6D">
        <w:rPr>
          <w:rFonts w:ascii="Calibri" w:hAnsi="Calibri"/>
          <w:b/>
          <w:lang w:val="en-GB"/>
        </w:rPr>
        <w:t>13.6.</w:t>
      </w:r>
      <w:r w:rsidRPr="00471B6D">
        <w:rPr>
          <w:rFonts w:ascii="Calibri" w:hAnsi="Calibri"/>
          <w:b/>
          <w:lang w:val="en-GB"/>
        </w:rPr>
        <w:tab/>
      </w:r>
      <w:r w:rsidR="00B47676">
        <w:rPr>
          <w:rFonts w:ascii="Calibri" w:hAnsi="Calibri"/>
          <w:b/>
          <w:lang w:val="en-GB"/>
        </w:rPr>
        <w:t>Duration of the reinsurance contract</w:t>
      </w:r>
    </w:p>
    <w:p w14:paraId="00F59A72" w14:textId="0DAB81C1" w:rsidR="00AA5A2D" w:rsidRPr="00471B6D" w:rsidRDefault="00B47676" w:rsidP="00AA5A2D">
      <w:pPr>
        <w:spacing w:after="0" w:line="240" w:lineRule="atLeast"/>
        <w:rPr>
          <w:bCs/>
          <w:szCs w:val="20"/>
          <w:lang w:val="en-GB"/>
        </w:rPr>
      </w:pPr>
      <w:r>
        <w:rPr>
          <w:bCs/>
          <w:szCs w:val="20"/>
          <w:lang w:val="en-GB"/>
        </w:rPr>
        <w:t>The contract will be valid until the date defined in the reinsurance contract</w:t>
      </w:r>
      <w:r w:rsidR="006256A9">
        <w:rPr>
          <w:bCs/>
          <w:szCs w:val="20"/>
          <w:lang w:val="en-GB"/>
        </w:rPr>
        <w:t xml:space="preserve"> </w:t>
      </w:r>
      <w:r w:rsidR="00824FAC">
        <w:rPr>
          <w:bCs/>
          <w:szCs w:val="20"/>
          <w:lang w:val="en-GB"/>
        </w:rPr>
        <w:t>in accordance with</w:t>
      </w:r>
      <w:r w:rsidR="00AA5A2D" w:rsidRPr="00471B6D">
        <w:rPr>
          <w:bCs/>
          <w:szCs w:val="20"/>
          <w:lang w:val="en-GB"/>
        </w:rPr>
        <w:t xml:space="preserve"> </w:t>
      </w:r>
      <w:r w:rsidR="006256A9">
        <w:rPr>
          <w:bCs/>
          <w:szCs w:val="20"/>
          <w:lang w:val="en-GB"/>
        </w:rPr>
        <w:t>the reinsurance year</w:t>
      </w:r>
      <w:r w:rsidR="0074551F">
        <w:rPr>
          <w:bCs/>
          <w:szCs w:val="20"/>
          <w:lang w:val="en-GB"/>
        </w:rPr>
        <w:t>,</w:t>
      </w:r>
      <w:r w:rsidR="00AA5A2D" w:rsidRPr="00471B6D">
        <w:rPr>
          <w:bCs/>
          <w:szCs w:val="20"/>
          <w:lang w:val="en-GB"/>
        </w:rPr>
        <w:t xml:space="preserve"> </w:t>
      </w:r>
      <w:r w:rsidR="006256A9">
        <w:rPr>
          <w:bCs/>
          <w:szCs w:val="20"/>
          <w:lang w:val="en-GB"/>
        </w:rPr>
        <w:t>if not automatically extended for another year</w:t>
      </w:r>
      <w:r w:rsidR="00AA5A2D" w:rsidRPr="00471B6D">
        <w:rPr>
          <w:bCs/>
          <w:szCs w:val="20"/>
          <w:lang w:val="en-GB"/>
        </w:rPr>
        <w:t xml:space="preserve">. </w:t>
      </w:r>
      <w:r w:rsidR="006256A9">
        <w:rPr>
          <w:bCs/>
          <w:szCs w:val="20"/>
          <w:lang w:val="en-GB"/>
        </w:rPr>
        <w:t xml:space="preserve">The contract will be automatically extended for another year if one contracting party does not inform </w:t>
      </w:r>
      <w:r w:rsidR="0074551F">
        <w:rPr>
          <w:bCs/>
          <w:szCs w:val="20"/>
          <w:lang w:val="en-GB"/>
        </w:rPr>
        <w:t xml:space="preserve">in writing </w:t>
      </w:r>
      <w:r w:rsidR="006256A9">
        <w:rPr>
          <w:bCs/>
          <w:szCs w:val="20"/>
          <w:lang w:val="en-GB"/>
        </w:rPr>
        <w:t>the other contracting party of the fact that it</w:t>
      </w:r>
      <w:r w:rsidR="00AA5A2D" w:rsidRPr="00471B6D">
        <w:rPr>
          <w:bCs/>
          <w:szCs w:val="20"/>
          <w:lang w:val="en-GB"/>
        </w:rPr>
        <w:t xml:space="preserve"> </w:t>
      </w:r>
      <w:r w:rsidR="006256A9">
        <w:rPr>
          <w:bCs/>
          <w:szCs w:val="20"/>
          <w:lang w:val="en-GB"/>
        </w:rPr>
        <w:t>gives up the extension of the reinsurance contract</w:t>
      </w:r>
      <w:r w:rsidR="0074551F">
        <w:rPr>
          <w:bCs/>
          <w:szCs w:val="20"/>
          <w:lang w:val="en-GB"/>
        </w:rPr>
        <w:t xml:space="preserve"> at least</w:t>
      </w:r>
      <w:r w:rsidR="0074551F" w:rsidRPr="00471B6D">
        <w:rPr>
          <w:bCs/>
          <w:szCs w:val="20"/>
          <w:lang w:val="en-GB"/>
        </w:rPr>
        <w:t xml:space="preserve"> 60 da</w:t>
      </w:r>
      <w:r w:rsidR="0074551F">
        <w:rPr>
          <w:bCs/>
          <w:szCs w:val="20"/>
          <w:lang w:val="en-GB"/>
        </w:rPr>
        <w:t>ys before the expiry of the reinsurance year</w:t>
      </w:r>
      <w:r w:rsidR="00AA5A2D" w:rsidRPr="00471B6D">
        <w:rPr>
          <w:bCs/>
          <w:szCs w:val="20"/>
          <w:lang w:val="en-GB"/>
        </w:rPr>
        <w:t>.</w:t>
      </w:r>
    </w:p>
    <w:p w14:paraId="51F30344" w14:textId="0B696AC5" w:rsidR="00AA5A2D" w:rsidRDefault="00AA5A2D" w:rsidP="00ED633B">
      <w:pPr>
        <w:spacing w:after="0" w:line="240" w:lineRule="atLeast"/>
        <w:rPr>
          <w:bCs/>
          <w:szCs w:val="20"/>
        </w:rPr>
      </w:pPr>
    </w:p>
    <w:p w14:paraId="3405457D" w14:textId="77777777" w:rsidR="00924B26" w:rsidRDefault="00924B26" w:rsidP="00A007AE">
      <w:pPr>
        <w:spacing w:after="0" w:line="240" w:lineRule="atLeast"/>
        <w:rPr>
          <w:bCs/>
          <w:szCs w:val="20"/>
        </w:rPr>
      </w:pPr>
    </w:p>
    <w:p w14:paraId="5BFB5FD8" w14:textId="77777777" w:rsidR="005B30A2" w:rsidRPr="00A007AE" w:rsidRDefault="005B30A2" w:rsidP="00A007AE">
      <w:pPr>
        <w:spacing w:after="0" w:line="240" w:lineRule="atLeast"/>
        <w:rPr>
          <w:bCs/>
          <w:szCs w:val="20"/>
        </w:rPr>
        <w:sectPr w:rsidR="005B30A2" w:rsidRPr="00A007AE" w:rsidSect="00E05D4A">
          <w:footerReference w:type="first" r:id="rId12"/>
          <w:type w:val="continuous"/>
          <w:pgSz w:w="11906" w:h="16838"/>
          <w:pgMar w:top="1418" w:right="1134" w:bottom="1701" w:left="1134" w:header="709" w:footer="709" w:gutter="170"/>
          <w:pgNumType w:start="1"/>
          <w:cols w:space="708"/>
          <w:docGrid w:linePitch="360"/>
        </w:sectPr>
      </w:pPr>
    </w:p>
    <w:p w14:paraId="5598CAAB" w14:textId="77777777" w:rsidR="0047501B" w:rsidRPr="001F7FCC" w:rsidRDefault="0047501B" w:rsidP="0047501B">
      <w:pPr>
        <w:rPr>
          <w:rFonts w:ascii="Calibri" w:hAnsi="Calibri"/>
          <w:color w:val="FF0000"/>
          <w:szCs w:val="20"/>
        </w:rPr>
      </w:pPr>
      <w:r w:rsidRPr="001F7FCC">
        <w:rPr>
          <w:noProof/>
          <w:color w:val="FF0000"/>
          <w:lang w:eastAsia="hr-HR"/>
        </w:rPr>
        <w:lastRenderedPageBreak/>
        <w:drawing>
          <wp:anchor distT="0" distB="0" distL="114300" distR="114300" simplePos="0" relativeHeight="251661312" behindDoc="1" locked="0" layoutInCell="1" allowOverlap="1" wp14:anchorId="6B52651F" wp14:editId="52FE3DBD">
            <wp:simplePos x="0" y="0"/>
            <wp:positionH relativeFrom="column">
              <wp:posOffset>-499745</wp:posOffset>
            </wp:positionH>
            <wp:positionV relativeFrom="paragraph">
              <wp:posOffset>-560705</wp:posOffset>
            </wp:positionV>
            <wp:extent cx="2811145" cy="10063480"/>
            <wp:effectExtent l="0" t="0" r="8255" b="0"/>
            <wp:wrapNone/>
            <wp:docPr id="7" name="Picture 7" descr="tr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ka"/>
                    <pic:cNvPicPr>
                      <a:picLocks noChangeAspect="1" noChangeArrowheads="1"/>
                    </pic:cNvPicPr>
                  </pic:nvPicPr>
                  <pic:blipFill>
                    <a:blip r:embed="rId8">
                      <a:extLst>
                        <a:ext uri="{28A0092B-C50C-407E-A947-70E740481C1C}">
                          <a14:useLocalDpi xmlns:a14="http://schemas.microsoft.com/office/drawing/2010/main" val="0"/>
                        </a:ext>
                      </a:extLst>
                    </a:blip>
                    <a:srcRect r="12825"/>
                    <a:stretch>
                      <a:fillRect/>
                    </a:stretch>
                  </pic:blipFill>
                  <pic:spPr bwMode="auto">
                    <a:xfrm>
                      <a:off x="0" y="0"/>
                      <a:ext cx="2811145" cy="1006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FCC">
        <w:rPr>
          <w:rFonts w:ascii="Calibri" w:hAnsi="Calibri"/>
          <w:noProof/>
          <w:color w:val="FF0000"/>
          <w:szCs w:val="20"/>
          <w:lang w:eastAsia="hr-HR"/>
        </w:rPr>
        <mc:AlternateContent>
          <mc:Choice Requires="wps">
            <w:drawing>
              <wp:anchor distT="0" distB="0" distL="114300" distR="114300" simplePos="0" relativeHeight="251660288" behindDoc="0" locked="0" layoutInCell="1" allowOverlap="1" wp14:anchorId="7E934FA7" wp14:editId="7463AB42">
                <wp:simplePos x="0" y="0"/>
                <wp:positionH relativeFrom="column">
                  <wp:posOffset>-534670</wp:posOffset>
                </wp:positionH>
                <wp:positionV relativeFrom="paragraph">
                  <wp:posOffset>-525145</wp:posOffset>
                </wp:positionV>
                <wp:extent cx="2797175" cy="10026650"/>
                <wp:effectExtent l="0"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10026650"/>
                        </a:xfrm>
                        <a:prstGeom prst="rect">
                          <a:avLst/>
                        </a:prstGeom>
                        <a:noFill/>
                        <a:ln>
                          <a:noFill/>
                        </a:ln>
                        <a:extLst>
                          <a:ext uri="{909E8E84-426E-40DD-AFC4-6F175D3DCCD1}">
                            <a14:hiddenFill xmlns:a14="http://schemas.microsoft.com/office/drawing/2010/main">
                              <a:solidFill>
                                <a:srgbClr val="66656A">
                                  <a:alpha val="7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BD741" w14:textId="77777777" w:rsidR="0047501B" w:rsidRDefault="0047501B" w:rsidP="0047501B">
                            <w:pPr>
                              <w:rPr>
                                <w:rFonts w:ascii="Calibri" w:hAnsi="Calibri"/>
                              </w:rPr>
                            </w:pPr>
                          </w:p>
                          <w:p w14:paraId="1A9DCB8E" w14:textId="77777777" w:rsidR="0047501B" w:rsidRDefault="0047501B" w:rsidP="0047501B">
                            <w:pPr>
                              <w:rPr>
                                <w:rFonts w:ascii="Calibri" w:hAnsi="Calibri"/>
                              </w:rPr>
                            </w:pPr>
                          </w:p>
                          <w:p w14:paraId="3296D27D" w14:textId="77777777" w:rsidR="0047501B" w:rsidRDefault="0047501B" w:rsidP="0047501B">
                            <w:pPr>
                              <w:rPr>
                                <w:rFonts w:ascii="Calibri" w:hAnsi="Calibri"/>
                                <w:color w:val="FFFFFF"/>
                              </w:rPr>
                            </w:pPr>
                          </w:p>
                          <w:p w14:paraId="5F15DF53" w14:textId="77777777" w:rsidR="0047501B" w:rsidRDefault="0047501B" w:rsidP="0047501B">
                            <w:pPr>
                              <w:rPr>
                                <w:rFonts w:ascii="Calibri" w:hAnsi="Calibri"/>
                                <w:color w:val="FFFFFF"/>
                              </w:rPr>
                            </w:pPr>
                          </w:p>
                          <w:p w14:paraId="65254BCA" w14:textId="77777777" w:rsidR="0047501B" w:rsidRDefault="0047501B" w:rsidP="0047501B">
                            <w:pPr>
                              <w:rPr>
                                <w:rFonts w:ascii="Calibri" w:hAnsi="Calibri"/>
                                <w:color w:val="FFFFFF"/>
                              </w:rPr>
                            </w:pPr>
                          </w:p>
                          <w:p w14:paraId="62D98003" w14:textId="77777777" w:rsidR="0047501B" w:rsidRDefault="0047501B" w:rsidP="0047501B">
                            <w:pPr>
                              <w:rPr>
                                <w:rFonts w:ascii="Calibri" w:hAnsi="Calibri"/>
                                <w:color w:val="FFFFFF"/>
                              </w:rPr>
                            </w:pPr>
                          </w:p>
                          <w:p w14:paraId="4D10E80D" w14:textId="77777777" w:rsidR="0047501B" w:rsidRDefault="0047501B" w:rsidP="0047501B">
                            <w:pPr>
                              <w:rPr>
                                <w:rFonts w:ascii="Calibri" w:hAnsi="Calibri"/>
                                <w:color w:val="FFFFFF"/>
                              </w:rPr>
                            </w:pPr>
                          </w:p>
                          <w:p w14:paraId="1CA32952" w14:textId="77777777" w:rsidR="0047501B" w:rsidRDefault="0047501B" w:rsidP="0047501B">
                            <w:pPr>
                              <w:rPr>
                                <w:rFonts w:ascii="Calibri" w:hAnsi="Calibri"/>
                                <w:color w:val="FFFFFF"/>
                              </w:rPr>
                            </w:pPr>
                          </w:p>
                          <w:p w14:paraId="3A74E629" w14:textId="77777777" w:rsidR="0047501B" w:rsidRDefault="0047501B" w:rsidP="0047501B">
                            <w:pPr>
                              <w:rPr>
                                <w:rFonts w:ascii="Calibri" w:hAnsi="Calibri"/>
                                <w:color w:val="FFFFFF"/>
                              </w:rPr>
                            </w:pPr>
                          </w:p>
                          <w:p w14:paraId="31AE95A7" w14:textId="77777777" w:rsidR="0047501B" w:rsidRDefault="0047501B" w:rsidP="0047501B">
                            <w:pPr>
                              <w:rPr>
                                <w:rFonts w:ascii="Calibri" w:hAnsi="Calibri"/>
                                <w:color w:val="FFFFFF"/>
                              </w:rPr>
                            </w:pPr>
                          </w:p>
                          <w:p w14:paraId="11AFEA95" w14:textId="77777777" w:rsidR="0047501B" w:rsidRDefault="0047501B" w:rsidP="0047501B">
                            <w:pPr>
                              <w:rPr>
                                <w:rFonts w:ascii="Calibri" w:hAnsi="Calibri"/>
                                <w:color w:val="FFFFFF"/>
                              </w:rPr>
                            </w:pPr>
                          </w:p>
                          <w:p w14:paraId="24C71179" w14:textId="77777777" w:rsidR="0047501B" w:rsidRDefault="0047501B" w:rsidP="0047501B">
                            <w:pPr>
                              <w:rPr>
                                <w:rFonts w:ascii="Calibri" w:hAnsi="Calibri"/>
                                <w:color w:val="FFFFFF"/>
                              </w:rPr>
                            </w:pPr>
                          </w:p>
                          <w:p w14:paraId="03F62368" w14:textId="77777777" w:rsidR="0047501B" w:rsidRDefault="0047501B" w:rsidP="0047501B">
                            <w:pPr>
                              <w:rPr>
                                <w:rFonts w:ascii="Calibri" w:hAnsi="Calibri"/>
                                <w:color w:val="FFFFFF"/>
                              </w:rPr>
                            </w:pPr>
                          </w:p>
                          <w:p w14:paraId="14B8F518" w14:textId="77777777" w:rsidR="0047501B" w:rsidRDefault="0047501B" w:rsidP="0047501B">
                            <w:pPr>
                              <w:rPr>
                                <w:rFonts w:ascii="Calibri" w:hAnsi="Calibri"/>
                                <w:color w:val="FFFFFF"/>
                              </w:rPr>
                            </w:pPr>
                          </w:p>
                          <w:p w14:paraId="169F68EC" w14:textId="77777777" w:rsidR="0047501B" w:rsidRDefault="0047501B" w:rsidP="0047501B">
                            <w:pPr>
                              <w:rPr>
                                <w:rFonts w:ascii="Calibri" w:hAnsi="Calibri"/>
                                <w:color w:val="FFFFFF"/>
                              </w:rPr>
                            </w:pPr>
                          </w:p>
                          <w:p w14:paraId="7C88D8FB" w14:textId="77777777" w:rsidR="0047501B" w:rsidRDefault="0047501B" w:rsidP="0047501B">
                            <w:pPr>
                              <w:rPr>
                                <w:rFonts w:ascii="Calibri" w:hAnsi="Calibri"/>
                                <w:color w:val="FFFFFF"/>
                              </w:rPr>
                            </w:pPr>
                          </w:p>
                          <w:p w14:paraId="28F91EAE" w14:textId="77777777" w:rsidR="0047501B" w:rsidRDefault="0047501B" w:rsidP="0047501B">
                            <w:pPr>
                              <w:rPr>
                                <w:rFonts w:ascii="Calibri" w:hAnsi="Calibri"/>
                                <w:color w:val="FFFFFF"/>
                              </w:rPr>
                            </w:pPr>
                          </w:p>
                          <w:p w14:paraId="781AB8AC" w14:textId="77777777" w:rsidR="0047501B" w:rsidRDefault="0047501B" w:rsidP="0047501B">
                            <w:pPr>
                              <w:rPr>
                                <w:rFonts w:ascii="Calibri" w:hAnsi="Calibri"/>
                                <w:color w:val="FFFFFF"/>
                              </w:rPr>
                            </w:pPr>
                          </w:p>
                          <w:p w14:paraId="342B98EB" w14:textId="77777777" w:rsidR="0047501B" w:rsidRDefault="0047501B" w:rsidP="0047501B">
                            <w:pPr>
                              <w:rPr>
                                <w:rFonts w:ascii="Calibri" w:hAnsi="Calibri"/>
                                <w:color w:val="FFFFFF"/>
                              </w:rPr>
                            </w:pPr>
                          </w:p>
                          <w:p w14:paraId="079641B9" w14:textId="77777777" w:rsidR="0047501B" w:rsidRDefault="0047501B" w:rsidP="0047501B">
                            <w:pPr>
                              <w:rPr>
                                <w:rFonts w:ascii="Calibri" w:hAnsi="Calibri"/>
                                <w:color w:val="FFFFFF"/>
                              </w:rPr>
                            </w:pPr>
                          </w:p>
                          <w:p w14:paraId="2A63FB39" w14:textId="77777777" w:rsidR="0047501B" w:rsidRDefault="0047501B" w:rsidP="0047501B">
                            <w:pPr>
                              <w:rPr>
                                <w:rFonts w:ascii="Calibri" w:hAnsi="Calibri"/>
                                <w:color w:val="FFFFFF"/>
                              </w:rPr>
                            </w:pPr>
                          </w:p>
                          <w:p w14:paraId="58A98934" w14:textId="77777777" w:rsidR="0047501B" w:rsidRDefault="0047501B" w:rsidP="0047501B">
                            <w:pPr>
                              <w:rPr>
                                <w:rFonts w:ascii="Calibri" w:hAnsi="Calibri"/>
                                <w:color w:val="FFFFFF"/>
                              </w:rPr>
                            </w:pPr>
                          </w:p>
                          <w:p w14:paraId="7B018560" w14:textId="77777777" w:rsidR="0047501B" w:rsidRDefault="0047501B" w:rsidP="0047501B">
                            <w:pPr>
                              <w:spacing w:before="60"/>
                              <w:rPr>
                                <w:rFonts w:ascii="Calibri" w:hAnsi="Calibri"/>
                                <w:color w:val="FFFFFF"/>
                              </w:rPr>
                            </w:pPr>
                          </w:p>
                          <w:p w14:paraId="0466ACE3" w14:textId="77777777" w:rsidR="0047501B" w:rsidRPr="00263634" w:rsidRDefault="0047501B" w:rsidP="0047501B">
                            <w:pPr>
                              <w:spacing w:before="60"/>
                              <w:ind w:firstLine="284"/>
                              <w:rPr>
                                <w:rFonts w:ascii="Calibri" w:hAnsi="Calibri"/>
                                <w:color w:val="FFFFFF"/>
                              </w:rPr>
                            </w:pPr>
                            <w:r w:rsidRPr="00263634">
                              <w:rPr>
                                <w:rFonts w:ascii="Calibri" w:hAnsi="Calibri"/>
                                <w:color w:val="FFFFFF"/>
                              </w:rPr>
                              <w:t>Hrvatska banka za obnovu i razvitak</w:t>
                            </w:r>
                          </w:p>
                          <w:p w14:paraId="7203416D" w14:textId="487B32C2" w:rsidR="0047501B" w:rsidRPr="00263634" w:rsidRDefault="006256A9" w:rsidP="0047501B">
                            <w:pPr>
                              <w:spacing w:before="60"/>
                              <w:ind w:left="284"/>
                              <w:rPr>
                                <w:rFonts w:ascii="Calibri" w:hAnsi="Calibri"/>
                                <w:color w:val="FFFFFF"/>
                              </w:rPr>
                            </w:pPr>
                            <w:r>
                              <w:rPr>
                                <w:rFonts w:ascii="Calibri" w:hAnsi="Calibri"/>
                                <w:color w:val="FFFFFF"/>
                              </w:rPr>
                              <w:t>Export Credit Insurance</w:t>
                            </w:r>
                          </w:p>
                          <w:p w14:paraId="01F1DEF3" w14:textId="77777777" w:rsidR="0047501B" w:rsidRPr="00263634" w:rsidRDefault="00E2470E" w:rsidP="0047501B">
                            <w:pPr>
                              <w:spacing w:before="60"/>
                              <w:ind w:left="284"/>
                              <w:rPr>
                                <w:rFonts w:ascii="Calibri" w:hAnsi="Calibri"/>
                                <w:color w:val="FFFFFF"/>
                              </w:rPr>
                            </w:pPr>
                            <w:r>
                              <w:rPr>
                                <w:rFonts w:ascii="Calibri" w:hAnsi="Calibri"/>
                                <w:color w:val="FFFFFF"/>
                              </w:rPr>
                              <w:t>Strossmayerov trg 9</w:t>
                            </w:r>
                          </w:p>
                          <w:p w14:paraId="3702B691"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10 000 Zagreb</w:t>
                            </w:r>
                          </w:p>
                          <w:p w14:paraId="7E22AB8C" w14:textId="77777777" w:rsidR="0047501B" w:rsidRPr="00263634" w:rsidRDefault="0047501B" w:rsidP="0047501B">
                            <w:pPr>
                              <w:spacing w:before="60"/>
                              <w:ind w:left="284"/>
                              <w:rPr>
                                <w:rFonts w:ascii="Calibri" w:hAnsi="Calibri"/>
                                <w:color w:val="FFFFFF"/>
                              </w:rPr>
                            </w:pPr>
                          </w:p>
                          <w:p w14:paraId="131C06A9" w14:textId="75E91C92" w:rsidR="0047501B" w:rsidRPr="00263634" w:rsidRDefault="006256A9" w:rsidP="0047501B">
                            <w:pPr>
                              <w:spacing w:before="60"/>
                              <w:ind w:left="284"/>
                              <w:rPr>
                                <w:rFonts w:ascii="Calibri" w:hAnsi="Calibri"/>
                                <w:color w:val="FFFFFF"/>
                              </w:rPr>
                            </w:pPr>
                            <w:r>
                              <w:rPr>
                                <w:rFonts w:ascii="Calibri" w:hAnsi="Calibri"/>
                                <w:color w:val="FFFFFF"/>
                              </w:rPr>
                              <w:t>Phone</w:t>
                            </w:r>
                            <w:r w:rsidR="0047501B" w:rsidRPr="00263634">
                              <w:rPr>
                                <w:rFonts w:ascii="Calibri" w:hAnsi="Calibri"/>
                                <w:color w:val="FFFFFF"/>
                              </w:rPr>
                              <w:t>: +385 1 4591 539</w:t>
                            </w:r>
                          </w:p>
                          <w:p w14:paraId="35382AFB"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Fax: + 385 1 4591 547</w:t>
                            </w:r>
                          </w:p>
                          <w:p w14:paraId="46D5B1C1" w14:textId="77777777" w:rsidR="0047501B" w:rsidRPr="00263634" w:rsidRDefault="0047501B" w:rsidP="0047501B">
                            <w:pPr>
                              <w:spacing w:before="60"/>
                              <w:ind w:left="284"/>
                              <w:rPr>
                                <w:rFonts w:ascii="Calibri" w:hAnsi="Calibri"/>
                                <w:color w:val="FFFFFF"/>
                              </w:rPr>
                            </w:pPr>
                          </w:p>
                          <w:p w14:paraId="0F111966"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www.hbor.hr</w:t>
                            </w:r>
                          </w:p>
                          <w:p w14:paraId="1E082131" w14:textId="77777777" w:rsidR="0047501B" w:rsidRDefault="0047501B" w:rsidP="0047501B">
                            <w:pPr>
                              <w:rPr>
                                <w:rFonts w:ascii="Calibri" w:hAnsi="Calibri"/>
                                <w:color w:val="FFFFFF"/>
                              </w:rPr>
                            </w:pPr>
                          </w:p>
                          <w:p w14:paraId="38EE250D" w14:textId="77777777" w:rsidR="0047501B" w:rsidRDefault="0047501B" w:rsidP="0047501B">
                            <w:pPr>
                              <w:rPr>
                                <w:rFonts w:ascii="Calibri" w:hAnsi="Calibri"/>
                                <w:color w:val="FFFFFF"/>
                              </w:rPr>
                            </w:pPr>
                          </w:p>
                          <w:p w14:paraId="23102BCE" w14:textId="77777777" w:rsidR="0047501B" w:rsidRDefault="0047501B" w:rsidP="0047501B">
                            <w:pPr>
                              <w:rPr>
                                <w:rFonts w:ascii="Calibri" w:hAnsi="Calibri"/>
                                <w:color w:val="FFFFFF"/>
                              </w:rPr>
                            </w:pPr>
                          </w:p>
                          <w:p w14:paraId="3E6D4DA3" w14:textId="77777777" w:rsidR="0047501B" w:rsidRDefault="0047501B" w:rsidP="0047501B">
                            <w:pPr>
                              <w:rPr>
                                <w:rFonts w:ascii="Calibri" w:hAnsi="Calibri"/>
                                <w:color w:val="FFFFFF"/>
                              </w:rPr>
                            </w:pPr>
                          </w:p>
                          <w:p w14:paraId="02482ADA" w14:textId="77777777" w:rsidR="0047501B" w:rsidRDefault="0047501B" w:rsidP="0047501B">
                            <w:pPr>
                              <w:rPr>
                                <w:rFonts w:ascii="Calibri" w:hAnsi="Calibri"/>
                                <w:color w:val="FFFFFF"/>
                              </w:rPr>
                            </w:pPr>
                          </w:p>
                          <w:p w14:paraId="25A0AF5C" w14:textId="77777777" w:rsidR="0047501B" w:rsidRDefault="0047501B" w:rsidP="0047501B">
                            <w:pPr>
                              <w:rPr>
                                <w:rFonts w:ascii="Calibri" w:hAnsi="Calibri"/>
                                <w:color w:val="FFFFFF"/>
                              </w:rPr>
                            </w:pPr>
                          </w:p>
                          <w:p w14:paraId="20741ED0" w14:textId="77777777" w:rsidR="0047501B" w:rsidRDefault="0047501B" w:rsidP="0047501B">
                            <w:pPr>
                              <w:rPr>
                                <w:rFonts w:ascii="Calibri" w:hAnsi="Calibri"/>
                                <w:color w:val="FFFFFF"/>
                              </w:rPr>
                            </w:pPr>
                          </w:p>
                          <w:p w14:paraId="21CED97F" w14:textId="77777777" w:rsidR="0047501B" w:rsidRDefault="0047501B" w:rsidP="0047501B">
                            <w:pPr>
                              <w:rPr>
                                <w:rFonts w:ascii="Calibri" w:hAnsi="Calibri"/>
                                <w:color w:val="FFFFFF"/>
                              </w:rPr>
                            </w:pPr>
                          </w:p>
                          <w:p w14:paraId="177A9F00" w14:textId="77777777" w:rsidR="0047501B" w:rsidRDefault="0047501B" w:rsidP="0047501B">
                            <w:pPr>
                              <w:rPr>
                                <w:rFonts w:ascii="Calibri" w:hAnsi="Calibri"/>
                                <w:color w:val="FFFFFF"/>
                              </w:rPr>
                            </w:pPr>
                          </w:p>
                          <w:p w14:paraId="56328FE0" w14:textId="77777777" w:rsidR="0047501B" w:rsidRDefault="0047501B" w:rsidP="0047501B">
                            <w:pPr>
                              <w:rPr>
                                <w:rFonts w:ascii="Calibri" w:hAnsi="Calibri"/>
                                <w:color w:val="FFFFFF"/>
                              </w:rPr>
                            </w:pPr>
                          </w:p>
                          <w:p w14:paraId="6CC66C26" w14:textId="77777777" w:rsidR="0047501B" w:rsidRDefault="0047501B" w:rsidP="0047501B">
                            <w:pPr>
                              <w:rPr>
                                <w:rFonts w:ascii="Calibri" w:hAnsi="Calibri"/>
                                <w:color w:val="FFFFFF"/>
                              </w:rPr>
                            </w:pPr>
                          </w:p>
                          <w:p w14:paraId="132FDD9A" w14:textId="77777777" w:rsidR="0047501B" w:rsidRDefault="0047501B" w:rsidP="0047501B">
                            <w:pPr>
                              <w:rPr>
                                <w:rFonts w:ascii="Calibri" w:hAnsi="Calibri"/>
                                <w:color w:val="FFFFFF"/>
                              </w:rPr>
                            </w:pPr>
                          </w:p>
                          <w:p w14:paraId="2E5510B9" w14:textId="77777777" w:rsidR="0047501B" w:rsidRDefault="0047501B" w:rsidP="0047501B">
                            <w:pPr>
                              <w:rPr>
                                <w:rFonts w:ascii="Calibri" w:hAnsi="Calibri"/>
                                <w:color w:val="FFFFFF"/>
                              </w:rPr>
                            </w:pPr>
                          </w:p>
                          <w:p w14:paraId="106F5064" w14:textId="77777777" w:rsidR="0047501B" w:rsidRDefault="0047501B" w:rsidP="0047501B">
                            <w:pPr>
                              <w:rPr>
                                <w:rFonts w:ascii="Calibri" w:hAnsi="Calibri"/>
                                <w:color w:val="FFFFFF"/>
                              </w:rPr>
                            </w:pPr>
                          </w:p>
                          <w:p w14:paraId="196BD53C" w14:textId="77777777" w:rsidR="0047501B" w:rsidRDefault="0047501B" w:rsidP="0047501B">
                            <w:pPr>
                              <w:rPr>
                                <w:rFonts w:ascii="Calibri" w:hAnsi="Calibri"/>
                                <w:color w:val="FFFFFF"/>
                              </w:rPr>
                            </w:pPr>
                          </w:p>
                          <w:p w14:paraId="58E02E85"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Hrvatska banka za obnovu i razvitak</w:t>
                            </w:r>
                          </w:p>
                          <w:p w14:paraId="2B658859"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Osiguranje izvoza</w:t>
                            </w:r>
                          </w:p>
                          <w:p w14:paraId="712C849D"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Zelinska 3</w:t>
                            </w:r>
                          </w:p>
                          <w:p w14:paraId="53E86369"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10 000 Zagreb</w:t>
                            </w:r>
                          </w:p>
                          <w:p w14:paraId="153A8E09" w14:textId="77777777" w:rsidR="0047501B" w:rsidRPr="00263634" w:rsidRDefault="0047501B" w:rsidP="0047501B">
                            <w:pPr>
                              <w:spacing w:before="60"/>
                              <w:ind w:left="284"/>
                              <w:rPr>
                                <w:rFonts w:ascii="Calibri" w:hAnsi="Calibri"/>
                                <w:color w:val="FFFFFF"/>
                              </w:rPr>
                            </w:pPr>
                          </w:p>
                          <w:p w14:paraId="0267AF6A"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Tel: +385 1 4591 539</w:t>
                            </w:r>
                          </w:p>
                          <w:p w14:paraId="5EC11533"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Fax: + 385 1 4591 547</w:t>
                            </w:r>
                          </w:p>
                          <w:p w14:paraId="30573F5D" w14:textId="77777777" w:rsidR="0047501B" w:rsidRPr="00263634" w:rsidRDefault="0047501B" w:rsidP="0047501B">
                            <w:pPr>
                              <w:spacing w:before="60"/>
                              <w:ind w:left="284"/>
                              <w:rPr>
                                <w:rFonts w:ascii="Calibri" w:hAnsi="Calibri"/>
                                <w:color w:val="FFFFFF"/>
                              </w:rPr>
                            </w:pPr>
                          </w:p>
                          <w:p w14:paraId="1E26AA9A"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www.hbor.hr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34FA7" id="_x0000_t202" coordsize="21600,21600" o:spt="202" path="m,l,21600r21600,l21600,xe">
                <v:stroke joinstyle="miter"/>
                <v:path gradientshapeok="t" o:connecttype="rect"/>
              </v:shapetype>
              <v:shape id="Text Box 6" o:spid="_x0000_s1026" type="#_x0000_t202" style="position:absolute;left:0;text-align:left;margin-left:-42.1pt;margin-top:-41.35pt;width:220.25pt;height:7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4p4gEAAKMDAAAOAAAAZHJzL2Uyb0RvYy54bWysU9tu2zAMfR+wfxD0vviCXFYjTtG16DCg&#10;uwDdPkCWZVuYLWqUEjv7+lFymmbrW7EXQSLpw3MO6e31NPTsoNBpMCXPFilnykiotWlL/uP7/bv3&#10;nDkvTC16MKrkR+X49e7tm+1oC5VDB32tkBGIccVoS955b4skcbJTg3ALsMpQsgEchKcntkmNYiT0&#10;oU/yNF0nI2BtEaRyjqJ3c5LvIn7TKOm/No1TnvUlJ24+nhjPKpzJbiuKFoXttDzREK9gMQhtqOkZ&#10;6k54wfaoX0ANWiI4aPxCwpBA02ipogZSk6X/qHnshFVRC5nj7Nkm9/9g5ZfDo/2GzE8fYKIBRhHO&#10;PoD86ZiB206YVt0gwtgpUVPjLFiWjNYVp0+D1a5wAaQaP0NNQxZ7DxFoanAIrpBORug0gOPZdDV5&#10;JimYb6422WbFmaRclqb5er2Kc0lE8fS9Rec/KhhYuJQcaawRXxwenA98RPFUEtoZuNd9H0fbm78C&#10;VBgikX+gPJP3UzVRddBRQX0kJQjzptBm06UD/M3ZSFtScvdrL1Bx1n8y5MZVtlyGtYqP5WqT0wMv&#10;M9VlRhhJUCX3nM3XWz+v4t6ibjvqNPtv4IYcbHSU9szqxJs2ISo+bW1Ytct3rHr+t3Z/AAAA//8D&#10;AFBLAwQUAAYACAAAACEAXVzo7eIAAAAMAQAADwAAAGRycy9kb3ducmV2LnhtbEyPy07DMBBF90j8&#10;gzVI7FqHNLRpiFNVCIRQQaKPDTs3NkmEPQ6x06R/z3QFuzuaoztn8tVoDTvpzjcOBdxNI2AaS6ca&#10;rAQc9s+TFJgPEpU0DrWAs/awKq6vcpkpN+BWn3ahYlSCPpMC6hDajHNf1tpKP3WtRtp9uc7KQGNX&#10;cdXJgcqt4XEUzbmVDdKFWrb6sdbl9663AhbD5inZ43n79vq+/nkxle8/P1Ihbm/G9QOwoMfwB8NF&#10;n9ShIKej61F5ZgRM0iQm9BLiBTAiZvfzGbAjocmSEi9y/v+J4hcAAP//AwBQSwECLQAUAAYACAAA&#10;ACEAtoM4kv4AAADhAQAAEwAAAAAAAAAAAAAAAAAAAAAAW0NvbnRlbnRfVHlwZXNdLnhtbFBLAQIt&#10;ABQABgAIAAAAIQA4/SH/1gAAAJQBAAALAAAAAAAAAAAAAAAAAC8BAABfcmVscy8ucmVsc1BLAQIt&#10;ABQABgAIAAAAIQCijR4p4gEAAKMDAAAOAAAAAAAAAAAAAAAAAC4CAABkcnMvZTJvRG9jLnhtbFBL&#10;AQItABQABgAIAAAAIQBdXOjt4gAAAAwBAAAPAAAAAAAAAAAAAAAAADwEAABkcnMvZG93bnJldi54&#10;bWxQSwUGAAAAAAQABADzAAAASwUAAAAA&#10;" filled="f" fillcolor="#66656a" stroked="f">
                <v:fill opacity="46003f"/>
                <v:textbox>
                  <w:txbxContent>
                    <w:p w14:paraId="699BD741" w14:textId="77777777" w:rsidR="0047501B" w:rsidRDefault="0047501B" w:rsidP="0047501B">
                      <w:pPr>
                        <w:rPr>
                          <w:rFonts w:ascii="Calibri" w:hAnsi="Calibri"/>
                        </w:rPr>
                      </w:pPr>
                    </w:p>
                    <w:p w14:paraId="1A9DCB8E" w14:textId="77777777" w:rsidR="0047501B" w:rsidRDefault="0047501B" w:rsidP="0047501B">
                      <w:pPr>
                        <w:rPr>
                          <w:rFonts w:ascii="Calibri" w:hAnsi="Calibri"/>
                        </w:rPr>
                      </w:pPr>
                    </w:p>
                    <w:p w14:paraId="3296D27D" w14:textId="77777777" w:rsidR="0047501B" w:rsidRDefault="0047501B" w:rsidP="0047501B">
                      <w:pPr>
                        <w:rPr>
                          <w:rFonts w:ascii="Calibri" w:hAnsi="Calibri"/>
                          <w:color w:val="FFFFFF"/>
                        </w:rPr>
                      </w:pPr>
                    </w:p>
                    <w:p w14:paraId="5F15DF53" w14:textId="77777777" w:rsidR="0047501B" w:rsidRDefault="0047501B" w:rsidP="0047501B">
                      <w:pPr>
                        <w:rPr>
                          <w:rFonts w:ascii="Calibri" w:hAnsi="Calibri"/>
                          <w:color w:val="FFFFFF"/>
                        </w:rPr>
                      </w:pPr>
                    </w:p>
                    <w:p w14:paraId="65254BCA" w14:textId="77777777" w:rsidR="0047501B" w:rsidRDefault="0047501B" w:rsidP="0047501B">
                      <w:pPr>
                        <w:rPr>
                          <w:rFonts w:ascii="Calibri" w:hAnsi="Calibri"/>
                          <w:color w:val="FFFFFF"/>
                        </w:rPr>
                      </w:pPr>
                    </w:p>
                    <w:p w14:paraId="62D98003" w14:textId="77777777" w:rsidR="0047501B" w:rsidRDefault="0047501B" w:rsidP="0047501B">
                      <w:pPr>
                        <w:rPr>
                          <w:rFonts w:ascii="Calibri" w:hAnsi="Calibri"/>
                          <w:color w:val="FFFFFF"/>
                        </w:rPr>
                      </w:pPr>
                    </w:p>
                    <w:p w14:paraId="4D10E80D" w14:textId="77777777" w:rsidR="0047501B" w:rsidRDefault="0047501B" w:rsidP="0047501B">
                      <w:pPr>
                        <w:rPr>
                          <w:rFonts w:ascii="Calibri" w:hAnsi="Calibri"/>
                          <w:color w:val="FFFFFF"/>
                        </w:rPr>
                      </w:pPr>
                    </w:p>
                    <w:p w14:paraId="1CA32952" w14:textId="77777777" w:rsidR="0047501B" w:rsidRDefault="0047501B" w:rsidP="0047501B">
                      <w:pPr>
                        <w:rPr>
                          <w:rFonts w:ascii="Calibri" w:hAnsi="Calibri"/>
                          <w:color w:val="FFFFFF"/>
                        </w:rPr>
                      </w:pPr>
                    </w:p>
                    <w:p w14:paraId="3A74E629" w14:textId="77777777" w:rsidR="0047501B" w:rsidRDefault="0047501B" w:rsidP="0047501B">
                      <w:pPr>
                        <w:rPr>
                          <w:rFonts w:ascii="Calibri" w:hAnsi="Calibri"/>
                          <w:color w:val="FFFFFF"/>
                        </w:rPr>
                      </w:pPr>
                    </w:p>
                    <w:p w14:paraId="31AE95A7" w14:textId="77777777" w:rsidR="0047501B" w:rsidRDefault="0047501B" w:rsidP="0047501B">
                      <w:pPr>
                        <w:rPr>
                          <w:rFonts w:ascii="Calibri" w:hAnsi="Calibri"/>
                          <w:color w:val="FFFFFF"/>
                        </w:rPr>
                      </w:pPr>
                    </w:p>
                    <w:p w14:paraId="11AFEA95" w14:textId="77777777" w:rsidR="0047501B" w:rsidRDefault="0047501B" w:rsidP="0047501B">
                      <w:pPr>
                        <w:rPr>
                          <w:rFonts w:ascii="Calibri" w:hAnsi="Calibri"/>
                          <w:color w:val="FFFFFF"/>
                        </w:rPr>
                      </w:pPr>
                    </w:p>
                    <w:p w14:paraId="24C71179" w14:textId="77777777" w:rsidR="0047501B" w:rsidRDefault="0047501B" w:rsidP="0047501B">
                      <w:pPr>
                        <w:rPr>
                          <w:rFonts w:ascii="Calibri" w:hAnsi="Calibri"/>
                          <w:color w:val="FFFFFF"/>
                        </w:rPr>
                      </w:pPr>
                    </w:p>
                    <w:p w14:paraId="03F62368" w14:textId="77777777" w:rsidR="0047501B" w:rsidRDefault="0047501B" w:rsidP="0047501B">
                      <w:pPr>
                        <w:rPr>
                          <w:rFonts w:ascii="Calibri" w:hAnsi="Calibri"/>
                          <w:color w:val="FFFFFF"/>
                        </w:rPr>
                      </w:pPr>
                    </w:p>
                    <w:p w14:paraId="14B8F518" w14:textId="77777777" w:rsidR="0047501B" w:rsidRDefault="0047501B" w:rsidP="0047501B">
                      <w:pPr>
                        <w:rPr>
                          <w:rFonts w:ascii="Calibri" w:hAnsi="Calibri"/>
                          <w:color w:val="FFFFFF"/>
                        </w:rPr>
                      </w:pPr>
                    </w:p>
                    <w:p w14:paraId="169F68EC" w14:textId="77777777" w:rsidR="0047501B" w:rsidRDefault="0047501B" w:rsidP="0047501B">
                      <w:pPr>
                        <w:rPr>
                          <w:rFonts w:ascii="Calibri" w:hAnsi="Calibri"/>
                          <w:color w:val="FFFFFF"/>
                        </w:rPr>
                      </w:pPr>
                    </w:p>
                    <w:p w14:paraId="7C88D8FB" w14:textId="77777777" w:rsidR="0047501B" w:rsidRDefault="0047501B" w:rsidP="0047501B">
                      <w:pPr>
                        <w:rPr>
                          <w:rFonts w:ascii="Calibri" w:hAnsi="Calibri"/>
                          <w:color w:val="FFFFFF"/>
                        </w:rPr>
                      </w:pPr>
                    </w:p>
                    <w:p w14:paraId="28F91EAE" w14:textId="77777777" w:rsidR="0047501B" w:rsidRDefault="0047501B" w:rsidP="0047501B">
                      <w:pPr>
                        <w:rPr>
                          <w:rFonts w:ascii="Calibri" w:hAnsi="Calibri"/>
                          <w:color w:val="FFFFFF"/>
                        </w:rPr>
                      </w:pPr>
                    </w:p>
                    <w:p w14:paraId="781AB8AC" w14:textId="77777777" w:rsidR="0047501B" w:rsidRDefault="0047501B" w:rsidP="0047501B">
                      <w:pPr>
                        <w:rPr>
                          <w:rFonts w:ascii="Calibri" w:hAnsi="Calibri"/>
                          <w:color w:val="FFFFFF"/>
                        </w:rPr>
                      </w:pPr>
                    </w:p>
                    <w:p w14:paraId="342B98EB" w14:textId="77777777" w:rsidR="0047501B" w:rsidRDefault="0047501B" w:rsidP="0047501B">
                      <w:pPr>
                        <w:rPr>
                          <w:rFonts w:ascii="Calibri" w:hAnsi="Calibri"/>
                          <w:color w:val="FFFFFF"/>
                        </w:rPr>
                      </w:pPr>
                    </w:p>
                    <w:p w14:paraId="079641B9" w14:textId="77777777" w:rsidR="0047501B" w:rsidRDefault="0047501B" w:rsidP="0047501B">
                      <w:pPr>
                        <w:rPr>
                          <w:rFonts w:ascii="Calibri" w:hAnsi="Calibri"/>
                          <w:color w:val="FFFFFF"/>
                        </w:rPr>
                      </w:pPr>
                    </w:p>
                    <w:p w14:paraId="2A63FB39" w14:textId="77777777" w:rsidR="0047501B" w:rsidRDefault="0047501B" w:rsidP="0047501B">
                      <w:pPr>
                        <w:rPr>
                          <w:rFonts w:ascii="Calibri" w:hAnsi="Calibri"/>
                          <w:color w:val="FFFFFF"/>
                        </w:rPr>
                      </w:pPr>
                    </w:p>
                    <w:p w14:paraId="58A98934" w14:textId="77777777" w:rsidR="0047501B" w:rsidRDefault="0047501B" w:rsidP="0047501B">
                      <w:pPr>
                        <w:rPr>
                          <w:rFonts w:ascii="Calibri" w:hAnsi="Calibri"/>
                          <w:color w:val="FFFFFF"/>
                        </w:rPr>
                      </w:pPr>
                    </w:p>
                    <w:p w14:paraId="7B018560" w14:textId="77777777" w:rsidR="0047501B" w:rsidRDefault="0047501B" w:rsidP="0047501B">
                      <w:pPr>
                        <w:spacing w:before="60"/>
                        <w:rPr>
                          <w:rFonts w:ascii="Calibri" w:hAnsi="Calibri"/>
                          <w:color w:val="FFFFFF"/>
                        </w:rPr>
                      </w:pPr>
                    </w:p>
                    <w:p w14:paraId="0466ACE3" w14:textId="77777777" w:rsidR="0047501B" w:rsidRPr="00263634" w:rsidRDefault="0047501B" w:rsidP="0047501B">
                      <w:pPr>
                        <w:spacing w:before="60"/>
                        <w:ind w:firstLine="284"/>
                        <w:rPr>
                          <w:rFonts w:ascii="Calibri" w:hAnsi="Calibri"/>
                          <w:color w:val="FFFFFF"/>
                        </w:rPr>
                      </w:pPr>
                      <w:r w:rsidRPr="00263634">
                        <w:rPr>
                          <w:rFonts w:ascii="Calibri" w:hAnsi="Calibri"/>
                          <w:color w:val="FFFFFF"/>
                        </w:rPr>
                        <w:t>Hrvatska banka za obnovu i razvitak</w:t>
                      </w:r>
                    </w:p>
                    <w:p w14:paraId="7203416D" w14:textId="487B32C2" w:rsidR="0047501B" w:rsidRPr="00263634" w:rsidRDefault="006256A9" w:rsidP="0047501B">
                      <w:pPr>
                        <w:spacing w:before="60"/>
                        <w:ind w:left="284"/>
                        <w:rPr>
                          <w:rFonts w:ascii="Calibri" w:hAnsi="Calibri"/>
                          <w:color w:val="FFFFFF"/>
                        </w:rPr>
                      </w:pPr>
                      <w:r>
                        <w:rPr>
                          <w:rFonts w:ascii="Calibri" w:hAnsi="Calibri"/>
                          <w:color w:val="FFFFFF"/>
                        </w:rPr>
                        <w:t>Export Credit Insurance</w:t>
                      </w:r>
                    </w:p>
                    <w:p w14:paraId="01F1DEF3" w14:textId="77777777" w:rsidR="0047501B" w:rsidRPr="00263634" w:rsidRDefault="00E2470E" w:rsidP="0047501B">
                      <w:pPr>
                        <w:spacing w:before="60"/>
                        <w:ind w:left="284"/>
                        <w:rPr>
                          <w:rFonts w:ascii="Calibri" w:hAnsi="Calibri"/>
                          <w:color w:val="FFFFFF"/>
                        </w:rPr>
                      </w:pPr>
                      <w:r>
                        <w:rPr>
                          <w:rFonts w:ascii="Calibri" w:hAnsi="Calibri"/>
                          <w:color w:val="FFFFFF"/>
                        </w:rPr>
                        <w:t>Strossmayerov trg 9</w:t>
                      </w:r>
                    </w:p>
                    <w:p w14:paraId="3702B691"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10 000 Zagreb</w:t>
                      </w:r>
                    </w:p>
                    <w:p w14:paraId="7E22AB8C" w14:textId="77777777" w:rsidR="0047501B" w:rsidRPr="00263634" w:rsidRDefault="0047501B" w:rsidP="0047501B">
                      <w:pPr>
                        <w:spacing w:before="60"/>
                        <w:ind w:left="284"/>
                        <w:rPr>
                          <w:rFonts w:ascii="Calibri" w:hAnsi="Calibri"/>
                          <w:color w:val="FFFFFF"/>
                        </w:rPr>
                      </w:pPr>
                    </w:p>
                    <w:p w14:paraId="131C06A9" w14:textId="75E91C92" w:rsidR="0047501B" w:rsidRPr="00263634" w:rsidRDefault="006256A9" w:rsidP="0047501B">
                      <w:pPr>
                        <w:spacing w:before="60"/>
                        <w:ind w:left="284"/>
                        <w:rPr>
                          <w:rFonts w:ascii="Calibri" w:hAnsi="Calibri"/>
                          <w:color w:val="FFFFFF"/>
                        </w:rPr>
                      </w:pPr>
                      <w:r>
                        <w:rPr>
                          <w:rFonts w:ascii="Calibri" w:hAnsi="Calibri"/>
                          <w:color w:val="FFFFFF"/>
                        </w:rPr>
                        <w:t>Phone</w:t>
                      </w:r>
                      <w:r w:rsidR="0047501B" w:rsidRPr="00263634">
                        <w:rPr>
                          <w:rFonts w:ascii="Calibri" w:hAnsi="Calibri"/>
                          <w:color w:val="FFFFFF"/>
                        </w:rPr>
                        <w:t>: +385 1 4591 539</w:t>
                      </w:r>
                    </w:p>
                    <w:p w14:paraId="35382AFB"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Fax: + 385 1 4591 547</w:t>
                      </w:r>
                    </w:p>
                    <w:p w14:paraId="46D5B1C1" w14:textId="77777777" w:rsidR="0047501B" w:rsidRPr="00263634" w:rsidRDefault="0047501B" w:rsidP="0047501B">
                      <w:pPr>
                        <w:spacing w:before="60"/>
                        <w:ind w:left="284"/>
                        <w:rPr>
                          <w:rFonts w:ascii="Calibri" w:hAnsi="Calibri"/>
                          <w:color w:val="FFFFFF"/>
                        </w:rPr>
                      </w:pPr>
                    </w:p>
                    <w:p w14:paraId="0F111966"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www.hbor.hr</w:t>
                      </w:r>
                    </w:p>
                    <w:p w14:paraId="1E082131" w14:textId="77777777" w:rsidR="0047501B" w:rsidRDefault="0047501B" w:rsidP="0047501B">
                      <w:pPr>
                        <w:rPr>
                          <w:rFonts w:ascii="Calibri" w:hAnsi="Calibri"/>
                          <w:color w:val="FFFFFF"/>
                        </w:rPr>
                      </w:pPr>
                    </w:p>
                    <w:p w14:paraId="38EE250D" w14:textId="77777777" w:rsidR="0047501B" w:rsidRDefault="0047501B" w:rsidP="0047501B">
                      <w:pPr>
                        <w:rPr>
                          <w:rFonts w:ascii="Calibri" w:hAnsi="Calibri"/>
                          <w:color w:val="FFFFFF"/>
                        </w:rPr>
                      </w:pPr>
                    </w:p>
                    <w:p w14:paraId="23102BCE" w14:textId="77777777" w:rsidR="0047501B" w:rsidRDefault="0047501B" w:rsidP="0047501B">
                      <w:pPr>
                        <w:rPr>
                          <w:rFonts w:ascii="Calibri" w:hAnsi="Calibri"/>
                          <w:color w:val="FFFFFF"/>
                        </w:rPr>
                      </w:pPr>
                    </w:p>
                    <w:p w14:paraId="3E6D4DA3" w14:textId="77777777" w:rsidR="0047501B" w:rsidRDefault="0047501B" w:rsidP="0047501B">
                      <w:pPr>
                        <w:rPr>
                          <w:rFonts w:ascii="Calibri" w:hAnsi="Calibri"/>
                          <w:color w:val="FFFFFF"/>
                        </w:rPr>
                      </w:pPr>
                    </w:p>
                    <w:p w14:paraId="02482ADA" w14:textId="77777777" w:rsidR="0047501B" w:rsidRDefault="0047501B" w:rsidP="0047501B">
                      <w:pPr>
                        <w:rPr>
                          <w:rFonts w:ascii="Calibri" w:hAnsi="Calibri"/>
                          <w:color w:val="FFFFFF"/>
                        </w:rPr>
                      </w:pPr>
                    </w:p>
                    <w:p w14:paraId="25A0AF5C" w14:textId="77777777" w:rsidR="0047501B" w:rsidRDefault="0047501B" w:rsidP="0047501B">
                      <w:pPr>
                        <w:rPr>
                          <w:rFonts w:ascii="Calibri" w:hAnsi="Calibri"/>
                          <w:color w:val="FFFFFF"/>
                        </w:rPr>
                      </w:pPr>
                    </w:p>
                    <w:p w14:paraId="20741ED0" w14:textId="77777777" w:rsidR="0047501B" w:rsidRDefault="0047501B" w:rsidP="0047501B">
                      <w:pPr>
                        <w:rPr>
                          <w:rFonts w:ascii="Calibri" w:hAnsi="Calibri"/>
                          <w:color w:val="FFFFFF"/>
                        </w:rPr>
                      </w:pPr>
                    </w:p>
                    <w:p w14:paraId="21CED97F" w14:textId="77777777" w:rsidR="0047501B" w:rsidRDefault="0047501B" w:rsidP="0047501B">
                      <w:pPr>
                        <w:rPr>
                          <w:rFonts w:ascii="Calibri" w:hAnsi="Calibri"/>
                          <w:color w:val="FFFFFF"/>
                        </w:rPr>
                      </w:pPr>
                    </w:p>
                    <w:p w14:paraId="177A9F00" w14:textId="77777777" w:rsidR="0047501B" w:rsidRDefault="0047501B" w:rsidP="0047501B">
                      <w:pPr>
                        <w:rPr>
                          <w:rFonts w:ascii="Calibri" w:hAnsi="Calibri"/>
                          <w:color w:val="FFFFFF"/>
                        </w:rPr>
                      </w:pPr>
                    </w:p>
                    <w:p w14:paraId="56328FE0" w14:textId="77777777" w:rsidR="0047501B" w:rsidRDefault="0047501B" w:rsidP="0047501B">
                      <w:pPr>
                        <w:rPr>
                          <w:rFonts w:ascii="Calibri" w:hAnsi="Calibri"/>
                          <w:color w:val="FFFFFF"/>
                        </w:rPr>
                      </w:pPr>
                    </w:p>
                    <w:p w14:paraId="6CC66C26" w14:textId="77777777" w:rsidR="0047501B" w:rsidRDefault="0047501B" w:rsidP="0047501B">
                      <w:pPr>
                        <w:rPr>
                          <w:rFonts w:ascii="Calibri" w:hAnsi="Calibri"/>
                          <w:color w:val="FFFFFF"/>
                        </w:rPr>
                      </w:pPr>
                    </w:p>
                    <w:p w14:paraId="132FDD9A" w14:textId="77777777" w:rsidR="0047501B" w:rsidRDefault="0047501B" w:rsidP="0047501B">
                      <w:pPr>
                        <w:rPr>
                          <w:rFonts w:ascii="Calibri" w:hAnsi="Calibri"/>
                          <w:color w:val="FFFFFF"/>
                        </w:rPr>
                      </w:pPr>
                    </w:p>
                    <w:p w14:paraId="2E5510B9" w14:textId="77777777" w:rsidR="0047501B" w:rsidRDefault="0047501B" w:rsidP="0047501B">
                      <w:pPr>
                        <w:rPr>
                          <w:rFonts w:ascii="Calibri" w:hAnsi="Calibri"/>
                          <w:color w:val="FFFFFF"/>
                        </w:rPr>
                      </w:pPr>
                    </w:p>
                    <w:p w14:paraId="106F5064" w14:textId="77777777" w:rsidR="0047501B" w:rsidRDefault="0047501B" w:rsidP="0047501B">
                      <w:pPr>
                        <w:rPr>
                          <w:rFonts w:ascii="Calibri" w:hAnsi="Calibri"/>
                          <w:color w:val="FFFFFF"/>
                        </w:rPr>
                      </w:pPr>
                    </w:p>
                    <w:p w14:paraId="196BD53C" w14:textId="77777777" w:rsidR="0047501B" w:rsidRDefault="0047501B" w:rsidP="0047501B">
                      <w:pPr>
                        <w:rPr>
                          <w:rFonts w:ascii="Calibri" w:hAnsi="Calibri"/>
                          <w:color w:val="FFFFFF"/>
                        </w:rPr>
                      </w:pPr>
                    </w:p>
                    <w:p w14:paraId="58E02E85"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Hrvatska banka za obnovu i razvitak</w:t>
                      </w:r>
                    </w:p>
                    <w:p w14:paraId="2B658859"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Osiguranje izvoza</w:t>
                      </w:r>
                    </w:p>
                    <w:p w14:paraId="712C849D"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Zelinska 3</w:t>
                      </w:r>
                    </w:p>
                    <w:p w14:paraId="53E86369"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10 000 Zagreb</w:t>
                      </w:r>
                    </w:p>
                    <w:p w14:paraId="153A8E09" w14:textId="77777777" w:rsidR="0047501B" w:rsidRPr="00263634" w:rsidRDefault="0047501B" w:rsidP="0047501B">
                      <w:pPr>
                        <w:spacing w:before="60"/>
                        <w:ind w:left="284"/>
                        <w:rPr>
                          <w:rFonts w:ascii="Calibri" w:hAnsi="Calibri"/>
                          <w:color w:val="FFFFFF"/>
                        </w:rPr>
                      </w:pPr>
                    </w:p>
                    <w:p w14:paraId="0267AF6A"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Tel: +385 1 4591 539</w:t>
                      </w:r>
                    </w:p>
                    <w:p w14:paraId="5EC11533"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Fax: + 385 1 4591 547</w:t>
                      </w:r>
                    </w:p>
                    <w:p w14:paraId="30573F5D" w14:textId="77777777" w:rsidR="0047501B" w:rsidRPr="00263634" w:rsidRDefault="0047501B" w:rsidP="0047501B">
                      <w:pPr>
                        <w:spacing w:before="60"/>
                        <w:ind w:left="284"/>
                        <w:rPr>
                          <w:rFonts w:ascii="Calibri" w:hAnsi="Calibri"/>
                          <w:color w:val="FFFFFF"/>
                        </w:rPr>
                      </w:pPr>
                    </w:p>
                    <w:p w14:paraId="1E26AA9A" w14:textId="77777777" w:rsidR="0047501B" w:rsidRPr="00263634" w:rsidRDefault="0047501B" w:rsidP="0047501B">
                      <w:pPr>
                        <w:spacing w:before="60"/>
                        <w:ind w:left="284"/>
                        <w:rPr>
                          <w:rFonts w:ascii="Calibri" w:hAnsi="Calibri"/>
                          <w:color w:val="FFFFFF"/>
                        </w:rPr>
                      </w:pPr>
                      <w:r w:rsidRPr="00263634">
                        <w:rPr>
                          <w:rFonts w:ascii="Calibri" w:hAnsi="Calibri"/>
                          <w:color w:val="FFFFFF"/>
                        </w:rPr>
                        <w:t>www.hbor.hr</w:t>
                      </w:r>
                    </w:p>
                  </w:txbxContent>
                </v:textbox>
              </v:shape>
            </w:pict>
          </mc:Fallback>
        </mc:AlternateContent>
      </w:r>
    </w:p>
    <w:p w14:paraId="61A3DCDC" w14:textId="77777777" w:rsidR="0047501B" w:rsidRPr="005B082C" w:rsidRDefault="0047501B" w:rsidP="0047501B">
      <w:pPr>
        <w:autoSpaceDE w:val="0"/>
        <w:autoSpaceDN w:val="0"/>
        <w:adjustRightInd w:val="0"/>
        <w:rPr>
          <w:rFonts w:cs="Times New Roman"/>
          <w:color w:val="000000"/>
          <w:sz w:val="24"/>
          <w:szCs w:val="24"/>
        </w:rPr>
      </w:pPr>
    </w:p>
    <w:p w14:paraId="665CBC7C" w14:textId="77777777" w:rsidR="00E13D21" w:rsidRPr="0047501B" w:rsidRDefault="00E13D21" w:rsidP="0047501B"/>
    <w:sectPr w:rsidR="00E13D21" w:rsidRPr="0047501B" w:rsidSect="00355492">
      <w:footerReference w:type="first" r:id="rId13"/>
      <w:pgSz w:w="11906" w:h="16838" w:code="9"/>
      <w:pgMar w:top="1418" w:right="1134" w:bottom="1701" w:left="1134" w:header="709" w:footer="709" w:gutter="170"/>
      <w:pgNumType w:start="1"/>
      <w:cols w:num="2" w:space="708" w:equalWidth="0">
        <w:col w:w="4371" w:space="708"/>
        <w:col w:w="438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444D8" w14:textId="77777777" w:rsidR="00CF7F6E" w:rsidRDefault="00CF7F6E" w:rsidP="0047501B">
      <w:pPr>
        <w:spacing w:after="0"/>
      </w:pPr>
      <w:r>
        <w:separator/>
      </w:r>
    </w:p>
  </w:endnote>
  <w:endnote w:type="continuationSeparator" w:id="0">
    <w:p w14:paraId="68D4DB68" w14:textId="77777777" w:rsidR="00CF7F6E" w:rsidRDefault="00CF7F6E" w:rsidP="004750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1AD4" w14:textId="26DFBF7A" w:rsidR="0047501B" w:rsidRPr="00F92D1E" w:rsidRDefault="0047501B" w:rsidP="00F92D1E">
    <w:pPr>
      <w:pStyle w:val="Podnoje"/>
      <w:framePr w:wrap="around" w:vAnchor="text" w:hAnchor="page" w:x="10418" w:y="1"/>
      <w:pBdr>
        <w:bottom w:val="single" w:sz="18" w:space="1" w:color="CC0033"/>
      </w:pBdr>
      <w:spacing w:after="0"/>
      <w:rPr>
        <w:rStyle w:val="Brojstranice"/>
        <w:rFonts w:ascii="Calibri" w:hAnsi="Calibri"/>
        <w:b/>
        <w:color w:val="66656A"/>
        <w:szCs w:val="20"/>
      </w:rPr>
    </w:pPr>
    <w:r w:rsidRPr="00F92D1E">
      <w:rPr>
        <w:rStyle w:val="Brojstranice"/>
        <w:rFonts w:ascii="Calibri" w:hAnsi="Calibri"/>
        <w:b/>
        <w:color w:val="66656A"/>
        <w:szCs w:val="20"/>
      </w:rPr>
      <w:fldChar w:fldCharType="begin"/>
    </w:r>
    <w:r w:rsidRPr="00F92D1E">
      <w:rPr>
        <w:rStyle w:val="Brojstranice"/>
        <w:rFonts w:ascii="Calibri" w:hAnsi="Calibri"/>
        <w:b/>
        <w:color w:val="66656A"/>
        <w:szCs w:val="20"/>
      </w:rPr>
      <w:instrText xml:space="preserve">PAGE  </w:instrText>
    </w:r>
    <w:r w:rsidRPr="00F92D1E">
      <w:rPr>
        <w:rStyle w:val="Brojstranice"/>
        <w:rFonts w:ascii="Calibri" w:hAnsi="Calibri"/>
        <w:b/>
        <w:color w:val="66656A"/>
        <w:szCs w:val="20"/>
      </w:rPr>
      <w:fldChar w:fldCharType="separate"/>
    </w:r>
    <w:r>
      <w:rPr>
        <w:rStyle w:val="Brojstranice"/>
        <w:rFonts w:ascii="Calibri" w:hAnsi="Calibri"/>
        <w:b/>
        <w:noProof/>
        <w:color w:val="66656A"/>
        <w:szCs w:val="20"/>
      </w:rPr>
      <w:t>5</w:t>
    </w:r>
    <w:r w:rsidRPr="00F92D1E">
      <w:rPr>
        <w:rStyle w:val="Brojstranice"/>
        <w:rFonts w:ascii="Calibri" w:hAnsi="Calibri"/>
        <w:b/>
        <w:color w:val="66656A"/>
        <w:szCs w:val="20"/>
      </w:rPr>
      <w:fldChar w:fldCharType="end"/>
    </w:r>
    <w:r w:rsidRPr="00F92D1E">
      <w:rPr>
        <w:rStyle w:val="Brojstranice"/>
        <w:rFonts w:ascii="Calibri" w:hAnsi="Calibri"/>
        <w:b/>
        <w:color w:val="66656A"/>
        <w:szCs w:val="20"/>
      </w:rPr>
      <w:t>/</w:t>
    </w:r>
    <w:r w:rsidRPr="00F92D1E">
      <w:rPr>
        <w:rStyle w:val="Brojstranice"/>
        <w:rFonts w:ascii="Calibri" w:hAnsi="Calibri"/>
        <w:b/>
        <w:color w:val="66656A"/>
        <w:szCs w:val="20"/>
      </w:rPr>
      <w:fldChar w:fldCharType="begin"/>
    </w:r>
    <w:r w:rsidRPr="00F92D1E">
      <w:rPr>
        <w:rStyle w:val="Brojstranice"/>
        <w:rFonts w:ascii="Calibri" w:hAnsi="Calibri"/>
        <w:b/>
        <w:color w:val="66656A"/>
        <w:szCs w:val="20"/>
      </w:rPr>
      <w:instrText xml:space="preserve">= </w:instrText>
    </w:r>
    <w:r w:rsidRPr="00F92D1E">
      <w:rPr>
        <w:rStyle w:val="Brojstranice"/>
        <w:rFonts w:ascii="Calibri" w:hAnsi="Calibri"/>
        <w:b/>
        <w:color w:val="66656A"/>
        <w:szCs w:val="20"/>
      </w:rPr>
      <w:fldChar w:fldCharType="begin"/>
    </w:r>
    <w:r w:rsidRPr="00F92D1E">
      <w:rPr>
        <w:rStyle w:val="Brojstranice"/>
        <w:rFonts w:ascii="Calibri" w:hAnsi="Calibri"/>
        <w:b/>
        <w:color w:val="66656A"/>
        <w:szCs w:val="20"/>
      </w:rPr>
      <w:instrText xml:space="preserve"> NUMPAGES </w:instrText>
    </w:r>
    <w:r w:rsidRPr="00F92D1E">
      <w:rPr>
        <w:rStyle w:val="Brojstranice"/>
        <w:rFonts w:ascii="Calibri" w:hAnsi="Calibri"/>
        <w:b/>
        <w:color w:val="66656A"/>
        <w:szCs w:val="20"/>
      </w:rPr>
      <w:fldChar w:fldCharType="separate"/>
    </w:r>
    <w:r w:rsidR="00F45907">
      <w:rPr>
        <w:rStyle w:val="Brojstranice"/>
        <w:rFonts w:ascii="Calibri" w:hAnsi="Calibri"/>
        <w:b/>
        <w:noProof/>
        <w:color w:val="66656A"/>
        <w:szCs w:val="20"/>
      </w:rPr>
      <w:instrText>5</w:instrText>
    </w:r>
    <w:r w:rsidRPr="00F92D1E">
      <w:rPr>
        <w:rStyle w:val="Brojstranice"/>
        <w:rFonts w:ascii="Calibri" w:hAnsi="Calibri"/>
        <w:b/>
        <w:color w:val="66656A"/>
        <w:szCs w:val="20"/>
      </w:rPr>
      <w:fldChar w:fldCharType="end"/>
    </w:r>
    <w:r w:rsidRPr="00F92D1E">
      <w:rPr>
        <w:rStyle w:val="Brojstranice"/>
        <w:rFonts w:ascii="Calibri" w:hAnsi="Calibri"/>
        <w:b/>
        <w:color w:val="66656A"/>
        <w:szCs w:val="20"/>
      </w:rPr>
      <w:instrText>-2</w:instrText>
    </w:r>
    <w:r w:rsidRPr="00F92D1E">
      <w:rPr>
        <w:rStyle w:val="Brojstranice"/>
        <w:rFonts w:ascii="Calibri" w:hAnsi="Calibri"/>
        <w:b/>
        <w:color w:val="66656A"/>
        <w:szCs w:val="20"/>
      </w:rPr>
      <w:fldChar w:fldCharType="separate"/>
    </w:r>
    <w:r w:rsidR="00F45907">
      <w:rPr>
        <w:rStyle w:val="Brojstranice"/>
        <w:rFonts w:ascii="Calibri" w:hAnsi="Calibri"/>
        <w:b/>
        <w:noProof/>
        <w:color w:val="66656A"/>
        <w:szCs w:val="20"/>
      </w:rPr>
      <w:t>3</w:t>
    </w:r>
    <w:r w:rsidRPr="00F92D1E">
      <w:rPr>
        <w:rStyle w:val="Brojstranice"/>
        <w:rFonts w:ascii="Calibri" w:hAnsi="Calibri"/>
        <w:b/>
        <w:color w:val="66656A"/>
        <w:szCs w:val="20"/>
      </w:rPr>
      <w:fldChar w:fldCharType="end"/>
    </w:r>
  </w:p>
  <w:p w14:paraId="79AE2648" w14:textId="77777777" w:rsidR="0047501B" w:rsidRDefault="0047501B">
    <w:pPr>
      <w:pStyle w:val="Podnoje"/>
      <w:jc w:val="right"/>
      <w:rPr>
        <w:rStyle w:val="pagenumChar"/>
      </w:rPr>
    </w:pPr>
  </w:p>
  <w:p w14:paraId="28FF8E3F" w14:textId="77777777" w:rsidR="0047501B" w:rsidRPr="00856736" w:rsidRDefault="0047501B">
    <w:pPr>
      <w:pStyle w:val="Podnoje"/>
      <w:jc w:val="right"/>
      <w:rPr>
        <w:rStyle w:val="pagenumChar"/>
      </w:rPr>
    </w:pPr>
  </w:p>
  <w:p w14:paraId="6F00C48D" w14:textId="77777777" w:rsidR="0047501B" w:rsidRDefault="0047501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8D4B" w14:textId="77777777" w:rsidR="0074551F" w:rsidRPr="00C05E28" w:rsidRDefault="0074551F" w:rsidP="0074551F">
    <w:pPr>
      <w:pStyle w:val="Footer1"/>
      <w:ind w:left="567"/>
      <w:jc w:val="center"/>
      <w:rPr>
        <w:sz w:val="20"/>
        <w:szCs w:val="20"/>
      </w:rPr>
    </w:pPr>
    <w:r w:rsidRPr="00C05E28">
      <w:rPr>
        <w:sz w:val="20"/>
        <w:szCs w:val="20"/>
        <w:lang w:val="en-GB"/>
      </w:rPr>
      <w:t>Export credit insurance against commercial and political risks for and on behalf of the Republic of Croatia</w:t>
    </w:r>
  </w:p>
  <w:p w14:paraId="78C8CA2C" w14:textId="1053BE48" w:rsidR="0047501B" w:rsidRPr="0074551F" w:rsidRDefault="0047501B" w:rsidP="0074551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875460"/>
      <w:docPartObj>
        <w:docPartGallery w:val="Page Numbers (Bottom of Page)"/>
        <w:docPartUnique/>
      </w:docPartObj>
    </w:sdtPr>
    <w:sdtEndPr>
      <w:rPr>
        <w:noProof/>
      </w:rPr>
    </w:sdtEndPr>
    <w:sdtContent>
      <w:p w14:paraId="1F071DBE" w14:textId="77777777" w:rsidR="0047501B" w:rsidRDefault="0047501B">
        <w:pPr>
          <w:pStyle w:val="Podnoje"/>
          <w:jc w:val="right"/>
        </w:pPr>
        <w:r>
          <w:fldChar w:fldCharType="begin"/>
        </w:r>
        <w:r>
          <w:instrText xml:space="preserve"> PAGE   \* MERGEFORMAT </w:instrText>
        </w:r>
        <w:r>
          <w:fldChar w:fldCharType="separate"/>
        </w:r>
        <w:r>
          <w:rPr>
            <w:noProof/>
          </w:rPr>
          <w:t>1</w:t>
        </w:r>
        <w:r>
          <w:rPr>
            <w:noProof/>
          </w:rPr>
          <w:fldChar w:fldCharType="end"/>
        </w:r>
      </w:p>
    </w:sdtContent>
  </w:sdt>
  <w:p w14:paraId="6F0CB486" w14:textId="77777777" w:rsidR="0047501B" w:rsidRPr="004C3AE6" w:rsidRDefault="0047501B" w:rsidP="004C3AE6">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2DDF" w14:textId="77777777" w:rsidR="005F0E14" w:rsidRDefault="005F0E14" w:rsidP="00355492">
    <w:pPr>
      <w:pStyle w:val="Podnoje"/>
      <w:rPr>
        <w:rFonts w:ascii="Calibri" w:hAnsi="Calibri"/>
        <w:color w:val="C0C0C0"/>
        <w:sz w:val="16"/>
        <w:szCs w:val="16"/>
      </w:rPr>
    </w:pPr>
  </w:p>
  <w:p w14:paraId="5CDB9455" w14:textId="77777777" w:rsidR="005F0E14" w:rsidRPr="003E51E2" w:rsidRDefault="005F0E14" w:rsidP="00355492">
    <w:pPr>
      <w:pStyle w:val="Podnoj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DB7C2" w14:textId="77777777" w:rsidR="00CF7F6E" w:rsidRDefault="00CF7F6E" w:rsidP="0047501B">
      <w:pPr>
        <w:spacing w:after="0"/>
      </w:pPr>
      <w:r>
        <w:separator/>
      </w:r>
    </w:p>
  </w:footnote>
  <w:footnote w:type="continuationSeparator" w:id="0">
    <w:p w14:paraId="45E656F9" w14:textId="77777777" w:rsidR="00CF7F6E" w:rsidRDefault="00CF7F6E" w:rsidP="0047501B">
      <w:pPr>
        <w:spacing w:after="0"/>
      </w:pPr>
      <w:r>
        <w:continuationSeparator/>
      </w:r>
    </w:p>
  </w:footnote>
  <w:footnote w:id="1">
    <w:p w14:paraId="313DEF6F" w14:textId="6F9E6688" w:rsidR="0074551F" w:rsidRPr="00E94DFF" w:rsidRDefault="0074551F" w:rsidP="0074551F">
      <w:pPr>
        <w:pStyle w:val="Tekstfusnote"/>
        <w:rPr>
          <w:sz w:val="16"/>
          <w:szCs w:val="16"/>
          <w:lang w:val="en-GB"/>
        </w:rPr>
      </w:pPr>
      <w:r w:rsidRPr="00225CC2">
        <w:rPr>
          <w:rStyle w:val="Referencafusnote"/>
          <w:sz w:val="16"/>
          <w:szCs w:val="16"/>
        </w:rPr>
        <w:footnoteRef/>
      </w:r>
      <w:r w:rsidRPr="00225CC2">
        <w:rPr>
          <w:sz w:val="16"/>
          <w:szCs w:val="16"/>
        </w:rPr>
        <w:t xml:space="preserve"> </w:t>
      </w:r>
      <w:r w:rsidRPr="00E94DFF">
        <w:rPr>
          <w:sz w:val="16"/>
          <w:szCs w:val="16"/>
          <w:lang w:val="en-GB"/>
        </w:rPr>
        <w:t xml:space="preserve">Non-market risks are commercial and political risks </w:t>
      </w:r>
      <w:r>
        <w:rPr>
          <w:sz w:val="16"/>
          <w:szCs w:val="16"/>
          <w:lang w:val="en-GB"/>
        </w:rPr>
        <w:t xml:space="preserve">of public and private debtors who have their headquarters outside of the EU or </w:t>
      </w:r>
      <w:r w:rsidRPr="00E94DFF">
        <w:rPr>
          <w:sz w:val="16"/>
          <w:szCs w:val="16"/>
          <w:lang w:val="en-GB"/>
        </w:rPr>
        <w:t>OECD</w:t>
      </w:r>
      <w:r>
        <w:rPr>
          <w:sz w:val="16"/>
          <w:szCs w:val="16"/>
          <w:lang w:val="en-GB"/>
        </w:rPr>
        <w:t xml:space="preserve"> irrespective of maturity or all risks of all debtors irrespective of the headquarters with duration of 2 years and longer including the period of manufacture</w:t>
      </w:r>
      <w:r w:rsidRPr="00E94DFF">
        <w:rPr>
          <w:sz w:val="16"/>
          <w:szCs w:val="16"/>
          <w:lang w:val="en-GB"/>
        </w:rPr>
        <w:t>.</w:t>
      </w:r>
    </w:p>
  </w:footnote>
  <w:footnote w:id="2">
    <w:p w14:paraId="30174101" w14:textId="36070B42" w:rsidR="0074551F" w:rsidRPr="00E94DFF" w:rsidRDefault="0074551F" w:rsidP="0074551F">
      <w:pPr>
        <w:pStyle w:val="Tekstfusnote"/>
        <w:rPr>
          <w:sz w:val="16"/>
          <w:szCs w:val="16"/>
          <w:lang w:val="en-GB"/>
        </w:rPr>
      </w:pPr>
      <w:r w:rsidRPr="00E94DFF">
        <w:rPr>
          <w:rStyle w:val="Referencafusnote"/>
          <w:sz w:val="16"/>
          <w:szCs w:val="16"/>
          <w:lang w:val="en-GB"/>
        </w:rPr>
        <w:footnoteRef/>
      </w:r>
      <w:r w:rsidRPr="00E94DFF">
        <w:rPr>
          <w:sz w:val="16"/>
          <w:szCs w:val="16"/>
          <w:lang w:val="en-GB"/>
        </w:rPr>
        <w:t xml:space="preserve"> </w:t>
      </w:r>
      <w:r>
        <w:rPr>
          <w:sz w:val="16"/>
          <w:szCs w:val="16"/>
          <w:lang w:val="en-GB"/>
        </w:rPr>
        <w:t xml:space="preserve">In the cases where it is not possible to </w:t>
      </w:r>
      <w:proofErr w:type="gramStart"/>
      <w:r>
        <w:rPr>
          <w:sz w:val="16"/>
          <w:szCs w:val="16"/>
          <w:lang w:val="en-GB"/>
        </w:rPr>
        <w:t>insure</w:t>
      </w:r>
      <w:proofErr w:type="gramEnd"/>
      <w:r>
        <w:rPr>
          <w:sz w:val="16"/>
          <w:szCs w:val="16"/>
          <w:lang w:val="en-GB"/>
        </w:rPr>
        <w:t xml:space="preserve"> market risks in the private market, e.g. due to insufficient capacity of private insurers, such risks are then considered temporarily non-market </w:t>
      </w:r>
      <w:r w:rsidR="004207A4">
        <w:rPr>
          <w:sz w:val="16"/>
          <w:szCs w:val="16"/>
          <w:lang w:val="en-GB"/>
        </w:rPr>
        <w:t xml:space="preserve">risks </w:t>
      </w:r>
      <w:r>
        <w:rPr>
          <w:sz w:val="16"/>
          <w:szCs w:val="16"/>
          <w:lang w:val="en-GB"/>
        </w:rPr>
        <w:t>and can be insured with a public insurance company if the following conditions are met</w:t>
      </w:r>
      <w:r w:rsidRPr="00E94DFF">
        <w:rPr>
          <w:sz w:val="16"/>
          <w:szCs w:val="16"/>
          <w:lang w:val="en-GB"/>
        </w:rPr>
        <w:t>:</w:t>
      </w:r>
    </w:p>
    <w:p w14:paraId="07258860" w14:textId="77777777" w:rsidR="0074551F" w:rsidRPr="00E94DFF" w:rsidRDefault="0074551F" w:rsidP="0074551F">
      <w:pPr>
        <w:pStyle w:val="Tekstfusnote"/>
        <w:ind w:left="426"/>
        <w:rPr>
          <w:sz w:val="16"/>
          <w:szCs w:val="16"/>
          <w:lang w:val="en-GB"/>
        </w:rPr>
      </w:pPr>
      <w:r w:rsidRPr="00E94DFF">
        <w:rPr>
          <w:sz w:val="16"/>
          <w:szCs w:val="16"/>
          <w:lang w:val="en-GB"/>
        </w:rPr>
        <w:t>•</w:t>
      </w:r>
      <w:r w:rsidRPr="00E94DFF">
        <w:rPr>
          <w:sz w:val="16"/>
          <w:szCs w:val="16"/>
          <w:lang w:val="en-GB"/>
        </w:rPr>
        <w:tab/>
      </w:r>
      <w:r>
        <w:rPr>
          <w:sz w:val="16"/>
          <w:szCs w:val="16"/>
          <w:lang w:val="en-GB"/>
        </w:rPr>
        <w:t xml:space="preserve">risks of micro, small and medium-sized entrepreneurs whose annual export turnover volume does not exceed EUR two </w:t>
      </w:r>
      <w:proofErr w:type="gramStart"/>
      <w:r>
        <w:rPr>
          <w:sz w:val="16"/>
          <w:szCs w:val="16"/>
          <w:lang w:val="en-GB"/>
        </w:rPr>
        <w:t>million</w:t>
      </w:r>
      <w:r w:rsidRPr="00E94DFF">
        <w:rPr>
          <w:sz w:val="16"/>
          <w:szCs w:val="16"/>
          <w:lang w:val="en-GB"/>
        </w:rPr>
        <w:t>;</w:t>
      </w:r>
      <w:proofErr w:type="gramEnd"/>
    </w:p>
    <w:p w14:paraId="45ED8984" w14:textId="77777777" w:rsidR="0074551F" w:rsidRPr="00E94DFF" w:rsidRDefault="0074551F" w:rsidP="0074551F">
      <w:pPr>
        <w:pStyle w:val="Tekstfusnote"/>
        <w:ind w:left="709" w:hanging="283"/>
        <w:rPr>
          <w:sz w:val="16"/>
          <w:szCs w:val="16"/>
          <w:lang w:val="en-GB"/>
        </w:rPr>
      </w:pPr>
      <w:r w:rsidRPr="00E94DFF">
        <w:rPr>
          <w:sz w:val="16"/>
          <w:szCs w:val="16"/>
          <w:lang w:val="en-GB"/>
        </w:rPr>
        <w:t>•</w:t>
      </w:r>
      <w:r w:rsidRPr="00E94DFF">
        <w:rPr>
          <w:sz w:val="16"/>
          <w:szCs w:val="16"/>
          <w:lang w:val="en-GB"/>
        </w:rPr>
        <w:tab/>
        <w:t>ri</w:t>
      </w:r>
      <w:r>
        <w:rPr>
          <w:sz w:val="16"/>
          <w:szCs w:val="16"/>
          <w:lang w:val="en-GB"/>
        </w:rPr>
        <w:t xml:space="preserve">sks arising from an individual export transaction or export transaction towards one foreign buyer with a risk period from </w:t>
      </w:r>
      <w:r w:rsidRPr="00E94DFF">
        <w:rPr>
          <w:sz w:val="16"/>
          <w:szCs w:val="16"/>
          <w:lang w:val="en-GB"/>
        </w:rPr>
        <w:t>181 da</w:t>
      </w:r>
      <w:r>
        <w:rPr>
          <w:sz w:val="16"/>
          <w:szCs w:val="16"/>
          <w:lang w:val="en-GB"/>
        </w:rPr>
        <w:t xml:space="preserve">ys to two </w:t>
      </w:r>
      <w:proofErr w:type="gramStart"/>
      <w:r>
        <w:rPr>
          <w:sz w:val="16"/>
          <w:szCs w:val="16"/>
          <w:lang w:val="en-GB"/>
        </w:rPr>
        <w:t>years</w:t>
      </w:r>
      <w:r w:rsidRPr="00E94DFF">
        <w:rPr>
          <w:sz w:val="16"/>
          <w:szCs w:val="16"/>
          <w:lang w:val="en-GB"/>
        </w:rPr>
        <w:t>;</w:t>
      </w:r>
      <w:proofErr w:type="gramEnd"/>
    </w:p>
    <w:p w14:paraId="44C16119" w14:textId="0CA0C354" w:rsidR="0074551F" w:rsidRDefault="0074551F" w:rsidP="0074551F">
      <w:pPr>
        <w:pStyle w:val="Tekstfusnote"/>
        <w:ind w:left="426"/>
      </w:pPr>
      <w:r w:rsidRPr="00E94DFF">
        <w:rPr>
          <w:sz w:val="16"/>
          <w:szCs w:val="16"/>
          <w:lang w:val="en-GB"/>
        </w:rPr>
        <w:t>•</w:t>
      </w:r>
      <w:r w:rsidRPr="00E94DFF">
        <w:rPr>
          <w:sz w:val="16"/>
          <w:szCs w:val="16"/>
          <w:lang w:val="en-GB"/>
        </w:rPr>
        <w:tab/>
      </w:r>
      <w:r>
        <w:rPr>
          <w:sz w:val="16"/>
          <w:szCs w:val="16"/>
          <w:lang w:val="en-GB"/>
        </w:rPr>
        <w:t>all other risks that are considered temporarily non-market</w:t>
      </w:r>
      <w:r w:rsidR="004207A4">
        <w:rPr>
          <w:sz w:val="16"/>
          <w:szCs w:val="16"/>
          <w:lang w:val="en-GB"/>
        </w:rPr>
        <w:t xml:space="preserve"> risks</w:t>
      </w:r>
      <w:r>
        <w:rPr>
          <w:sz w:val="16"/>
          <w:szCs w:val="16"/>
          <w:lang w:val="en-GB"/>
        </w:rPr>
        <w:t xml:space="preserve"> by the European Commission</w:t>
      </w:r>
      <w:r w:rsidRPr="00225CC2">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BE5"/>
    <w:multiLevelType w:val="hybridMultilevel"/>
    <w:tmpl w:val="314A72A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9C69B5"/>
    <w:multiLevelType w:val="hybridMultilevel"/>
    <w:tmpl w:val="53A68F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5E7A9D"/>
    <w:multiLevelType w:val="hybridMultilevel"/>
    <w:tmpl w:val="6CC2E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0502AA"/>
    <w:multiLevelType w:val="hybridMultilevel"/>
    <w:tmpl w:val="C7D6DC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21018D"/>
    <w:multiLevelType w:val="hybridMultilevel"/>
    <w:tmpl w:val="DD7C6A5E"/>
    <w:lvl w:ilvl="0" w:tplc="6D6667D6">
      <w:start w:val="1"/>
      <w:numFmt w:val="decimal"/>
      <w:lvlText w:val="%1."/>
      <w:lvlJc w:val="left"/>
      <w:pPr>
        <w:ind w:left="720" w:hanging="360"/>
      </w:pPr>
      <w:rPr>
        <w:rFonts w:asciiTheme="minorHAnsi" w:eastAsiaTheme="minorHAnsi" w:hAnsiTheme="minorHAnsi" w:cstheme="minorBidi"/>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125D9C"/>
    <w:multiLevelType w:val="hybridMultilevel"/>
    <w:tmpl w:val="DFD23CEA"/>
    <w:lvl w:ilvl="0" w:tplc="041A0001">
      <w:start w:val="1"/>
      <w:numFmt w:val="bullet"/>
      <w:lvlText w:val=""/>
      <w:lvlJc w:val="left"/>
      <w:pPr>
        <w:ind w:left="720" w:hanging="360"/>
      </w:pPr>
      <w:rPr>
        <w:rFonts w:ascii="Symbol" w:hAnsi="Symbol" w:hint="default"/>
      </w:rPr>
    </w:lvl>
    <w:lvl w:ilvl="1" w:tplc="041A000D">
      <w:start w:val="1"/>
      <w:numFmt w:val="bullet"/>
      <w:lvlText w:val=""/>
      <w:lvlJc w:val="left"/>
      <w:pPr>
        <w:ind w:left="1440" w:hanging="360"/>
      </w:pPr>
      <w:rPr>
        <w:rFonts w:ascii="Wingdings" w:hAnsi="Wingdings"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A796149"/>
    <w:multiLevelType w:val="hybridMultilevel"/>
    <w:tmpl w:val="F1E0AE12"/>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64E64A0C">
      <w:start w:val="5"/>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A454EA"/>
    <w:multiLevelType w:val="hybridMultilevel"/>
    <w:tmpl w:val="B3F0B19A"/>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1CC5FFE"/>
    <w:multiLevelType w:val="hybridMultilevel"/>
    <w:tmpl w:val="C238739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42236F0C"/>
    <w:multiLevelType w:val="hybridMultilevel"/>
    <w:tmpl w:val="DB46CF0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4AD17D06"/>
    <w:multiLevelType w:val="hybridMultilevel"/>
    <w:tmpl w:val="AAA28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E466B1B"/>
    <w:multiLevelType w:val="hybridMultilevel"/>
    <w:tmpl w:val="8ABCCF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8DC0BA7"/>
    <w:multiLevelType w:val="hybridMultilevel"/>
    <w:tmpl w:val="5EBE032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EA05026"/>
    <w:multiLevelType w:val="hybridMultilevel"/>
    <w:tmpl w:val="A49EB5F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880493"/>
    <w:multiLevelType w:val="hybridMultilevel"/>
    <w:tmpl w:val="5ABE9A36"/>
    <w:lvl w:ilvl="0" w:tplc="951CF9F8">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46942D0"/>
    <w:multiLevelType w:val="hybridMultilevel"/>
    <w:tmpl w:val="AB9283CE"/>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B1A58AE"/>
    <w:multiLevelType w:val="hybridMultilevel"/>
    <w:tmpl w:val="A49EB5F6"/>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D5E4840"/>
    <w:multiLevelType w:val="hybridMultilevel"/>
    <w:tmpl w:val="0492B5B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8426153">
    <w:abstractNumId w:val="3"/>
  </w:num>
  <w:num w:numId="2" w16cid:durableId="1301425261">
    <w:abstractNumId w:val="9"/>
  </w:num>
  <w:num w:numId="3" w16cid:durableId="1958177787">
    <w:abstractNumId w:val="14"/>
  </w:num>
  <w:num w:numId="4" w16cid:durableId="168763625">
    <w:abstractNumId w:val="4"/>
  </w:num>
  <w:num w:numId="5" w16cid:durableId="196429984">
    <w:abstractNumId w:val="0"/>
  </w:num>
  <w:num w:numId="6" w16cid:durableId="489176335">
    <w:abstractNumId w:val="7"/>
  </w:num>
  <w:num w:numId="7" w16cid:durableId="1909149927">
    <w:abstractNumId w:val="6"/>
  </w:num>
  <w:num w:numId="8" w16cid:durableId="2122458056">
    <w:abstractNumId w:val="12"/>
  </w:num>
  <w:num w:numId="9" w16cid:durableId="621806560">
    <w:abstractNumId w:val="2"/>
  </w:num>
  <w:num w:numId="10" w16cid:durableId="1581982128">
    <w:abstractNumId w:val="17"/>
  </w:num>
  <w:num w:numId="11" w16cid:durableId="1097285097">
    <w:abstractNumId w:val="16"/>
  </w:num>
  <w:num w:numId="12" w16cid:durableId="1217740637">
    <w:abstractNumId w:val="10"/>
  </w:num>
  <w:num w:numId="13" w16cid:durableId="2083870320">
    <w:abstractNumId w:val="1"/>
  </w:num>
  <w:num w:numId="14" w16cid:durableId="2060548561">
    <w:abstractNumId w:val="5"/>
  </w:num>
  <w:num w:numId="15" w16cid:durableId="1802069177">
    <w:abstractNumId w:val="8"/>
  </w:num>
  <w:num w:numId="16" w16cid:durableId="588268902">
    <w:abstractNumId w:val="15"/>
  </w:num>
  <w:num w:numId="17" w16cid:durableId="1686402133">
    <w:abstractNumId w:val="13"/>
  </w:num>
  <w:num w:numId="18" w16cid:durableId="1599680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4A"/>
    <w:rsid w:val="00001626"/>
    <w:rsid w:val="0002677D"/>
    <w:rsid w:val="00030995"/>
    <w:rsid w:val="000373BA"/>
    <w:rsid w:val="00051159"/>
    <w:rsid w:val="00054180"/>
    <w:rsid w:val="0006539E"/>
    <w:rsid w:val="00065DA0"/>
    <w:rsid w:val="00075448"/>
    <w:rsid w:val="00080D58"/>
    <w:rsid w:val="00082F0E"/>
    <w:rsid w:val="00087C54"/>
    <w:rsid w:val="00092AAB"/>
    <w:rsid w:val="000935DB"/>
    <w:rsid w:val="000A272A"/>
    <w:rsid w:val="000B3B07"/>
    <w:rsid w:val="000D7A12"/>
    <w:rsid w:val="000E41C7"/>
    <w:rsid w:val="000F4A13"/>
    <w:rsid w:val="00103170"/>
    <w:rsid w:val="00171639"/>
    <w:rsid w:val="00172D18"/>
    <w:rsid w:val="00185835"/>
    <w:rsid w:val="0018777D"/>
    <w:rsid w:val="001A0B85"/>
    <w:rsid w:val="001A7A46"/>
    <w:rsid w:val="001B3B01"/>
    <w:rsid w:val="001C3B84"/>
    <w:rsid w:val="001E4A07"/>
    <w:rsid w:val="0020679F"/>
    <w:rsid w:val="002168F3"/>
    <w:rsid w:val="00216900"/>
    <w:rsid w:val="00225CC2"/>
    <w:rsid w:val="00227B87"/>
    <w:rsid w:val="00240183"/>
    <w:rsid w:val="00251BB4"/>
    <w:rsid w:val="002942B2"/>
    <w:rsid w:val="002A0F10"/>
    <w:rsid w:val="002C5F83"/>
    <w:rsid w:val="002D3134"/>
    <w:rsid w:val="002E4E29"/>
    <w:rsid w:val="002F11D1"/>
    <w:rsid w:val="00316CC3"/>
    <w:rsid w:val="00325C38"/>
    <w:rsid w:val="00375E9F"/>
    <w:rsid w:val="00380472"/>
    <w:rsid w:val="003B17F6"/>
    <w:rsid w:val="003D4C72"/>
    <w:rsid w:val="003E3869"/>
    <w:rsid w:val="003F501F"/>
    <w:rsid w:val="004207A4"/>
    <w:rsid w:val="0042470E"/>
    <w:rsid w:val="00431B5C"/>
    <w:rsid w:val="0043561C"/>
    <w:rsid w:val="0043782D"/>
    <w:rsid w:val="00461751"/>
    <w:rsid w:val="00465156"/>
    <w:rsid w:val="00471B6D"/>
    <w:rsid w:val="0047501B"/>
    <w:rsid w:val="0047637D"/>
    <w:rsid w:val="004B11EB"/>
    <w:rsid w:val="004B3DC3"/>
    <w:rsid w:val="004B40A9"/>
    <w:rsid w:val="004F02D3"/>
    <w:rsid w:val="004F1F7F"/>
    <w:rsid w:val="00546079"/>
    <w:rsid w:val="00550A71"/>
    <w:rsid w:val="00562A4B"/>
    <w:rsid w:val="00564C4A"/>
    <w:rsid w:val="0058621B"/>
    <w:rsid w:val="005B30A2"/>
    <w:rsid w:val="005E3E54"/>
    <w:rsid w:val="005E5326"/>
    <w:rsid w:val="005E74C3"/>
    <w:rsid w:val="005E7A9F"/>
    <w:rsid w:val="005F0E14"/>
    <w:rsid w:val="006000F3"/>
    <w:rsid w:val="006256A9"/>
    <w:rsid w:val="00634023"/>
    <w:rsid w:val="006434CA"/>
    <w:rsid w:val="0066326B"/>
    <w:rsid w:val="006B6D6C"/>
    <w:rsid w:val="006C0C46"/>
    <w:rsid w:val="006C4B23"/>
    <w:rsid w:val="006D67B9"/>
    <w:rsid w:val="006E068F"/>
    <w:rsid w:val="006E07D6"/>
    <w:rsid w:val="006E4637"/>
    <w:rsid w:val="0071044A"/>
    <w:rsid w:val="00712C47"/>
    <w:rsid w:val="00716DFC"/>
    <w:rsid w:val="00744D8A"/>
    <w:rsid w:val="00745422"/>
    <w:rsid w:val="0074551F"/>
    <w:rsid w:val="00746F5D"/>
    <w:rsid w:val="007649D2"/>
    <w:rsid w:val="00767975"/>
    <w:rsid w:val="007813E0"/>
    <w:rsid w:val="00790722"/>
    <w:rsid w:val="00792342"/>
    <w:rsid w:val="007A00E7"/>
    <w:rsid w:val="007A2EC9"/>
    <w:rsid w:val="007D532E"/>
    <w:rsid w:val="007E4D08"/>
    <w:rsid w:val="007F0915"/>
    <w:rsid w:val="007F5D64"/>
    <w:rsid w:val="00804A83"/>
    <w:rsid w:val="00812EDC"/>
    <w:rsid w:val="00824FAC"/>
    <w:rsid w:val="0085443C"/>
    <w:rsid w:val="00860B15"/>
    <w:rsid w:val="00860C3B"/>
    <w:rsid w:val="0086702E"/>
    <w:rsid w:val="0087358F"/>
    <w:rsid w:val="00880125"/>
    <w:rsid w:val="00893AA6"/>
    <w:rsid w:val="008A5A2C"/>
    <w:rsid w:val="008E538F"/>
    <w:rsid w:val="008E79C0"/>
    <w:rsid w:val="00912B5E"/>
    <w:rsid w:val="009131A4"/>
    <w:rsid w:val="00924B26"/>
    <w:rsid w:val="0092614D"/>
    <w:rsid w:val="0096787A"/>
    <w:rsid w:val="009C5414"/>
    <w:rsid w:val="009E00DE"/>
    <w:rsid w:val="00A007AE"/>
    <w:rsid w:val="00A05AAA"/>
    <w:rsid w:val="00A206EF"/>
    <w:rsid w:val="00A23360"/>
    <w:rsid w:val="00A45521"/>
    <w:rsid w:val="00A456F2"/>
    <w:rsid w:val="00A65837"/>
    <w:rsid w:val="00A66302"/>
    <w:rsid w:val="00A91580"/>
    <w:rsid w:val="00A941A7"/>
    <w:rsid w:val="00AA5A2D"/>
    <w:rsid w:val="00AD637D"/>
    <w:rsid w:val="00AF401F"/>
    <w:rsid w:val="00B25AC3"/>
    <w:rsid w:val="00B42256"/>
    <w:rsid w:val="00B4554E"/>
    <w:rsid w:val="00B47676"/>
    <w:rsid w:val="00B54EAC"/>
    <w:rsid w:val="00B717D4"/>
    <w:rsid w:val="00B80B63"/>
    <w:rsid w:val="00B91B2F"/>
    <w:rsid w:val="00BB0B57"/>
    <w:rsid w:val="00BB4F85"/>
    <w:rsid w:val="00BC4F2A"/>
    <w:rsid w:val="00BD5054"/>
    <w:rsid w:val="00BE0453"/>
    <w:rsid w:val="00BE0745"/>
    <w:rsid w:val="00BF1FDB"/>
    <w:rsid w:val="00C22E42"/>
    <w:rsid w:val="00C30519"/>
    <w:rsid w:val="00C30D53"/>
    <w:rsid w:val="00C4528F"/>
    <w:rsid w:val="00C543ED"/>
    <w:rsid w:val="00C54E9F"/>
    <w:rsid w:val="00C777B8"/>
    <w:rsid w:val="00C84133"/>
    <w:rsid w:val="00CC49B1"/>
    <w:rsid w:val="00CD72B6"/>
    <w:rsid w:val="00CF7F6E"/>
    <w:rsid w:val="00D23AE2"/>
    <w:rsid w:val="00D252FB"/>
    <w:rsid w:val="00D25B97"/>
    <w:rsid w:val="00D435F9"/>
    <w:rsid w:val="00D55EEE"/>
    <w:rsid w:val="00D70DEE"/>
    <w:rsid w:val="00D82214"/>
    <w:rsid w:val="00D84AAE"/>
    <w:rsid w:val="00D93EAB"/>
    <w:rsid w:val="00D968D8"/>
    <w:rsid w:val="00DB07F7"/>
    <w:rsid w:val="00DC2171"/>
    <w:rsid w:val="00DD2FDB"/>
    <w:rsid w:val="00DF1CD9"/>
    <w:rsid w:val="00E13D21"/>
    <w:rsid w:val="00E2070B"/>
    <w:rsid w:val="00E23B87"/>
    <w:rsid w:val="00E2470E"/>
    <w:rsid w:val="00E35168"/>
    <w:rsid w:val="00E56805"/>
    <w:rsid w:val="00E74B78"/>
    <w:rsid w:val="00E92241"/>
    <w:rsid w:val="00ED1E46"/>
    <w:rsid w:val="00ED633B"/>
    <w:rsid w:val="00EE1AE8"/>
    <w:rsid w:val="00EE79BB"/>
    <w:rsid w:val="00F24AA8"/>
    <w:rsid w:val="00F45907"/>
    <w:rsid w:val="00F514F4"/>
    <w:rsid w:val="00F670CA"/>
    <w:rsid w:val="00FA099F"/>
    <w:rsid w:val="00FA5BBE"/>
    <w:rsid w:val="00FB0D52"/>
    <w:rsid w:val="00FB1325"/>
    <w:rsid w:val="00FB2340"/>
    <w:rsid w:val="00FD00F9"/>
    <w:rsid w:val="00FE42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4E65B"/>
  <w15:chartTrackingRefBased/>
  <w15:docId w15:val="{7F1D60DE-5292-40F5-9609-FC9A6EF1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01B"/>
    <w:pPr>
      <w:spacing w:after="240" w:line="240" w:lineRule="auto"/>
      <w:jc w:val="both"/>
    </w:pPr>
    <w:rPr>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E74B78"/>
    <w:pPr>
      <w:ind w:left="720"/>
      <w:contextualSpacing/>
    </w:pPr>
  </w:style>
  <w:style w:type="paragraph" w:styleId="Podnoje">
    <w:name w:val="footer"/>
    <w:basedOn w:val="Normal"/>
    <w:link w:val="PodnojeChar"/>
    <w:unhideWhenUsed/>
    <w:rsid w:val="0047501B"/>
    <w:pPr>
      <w:tabs>
        <w:tab w:val="center" w:pos="4536"/>
        <w:tab w:val="right" w:pos="9072"/>
      </w:tabs>
    </w:pPr>
  </w:style>
  <w:style w:type="character" w:customStyle="1" w:styleId="PodnojeChar">
    <w:name w:val="Podnožje Char"/>
    <w:basedOn w:val="Zadanifontodlomka"/>
    <w:link w:val="Podnoje"/>
    <w:rsid w:val="0047501B"/>
    <w:rPr>
      <w:sz w:val="20"/>
    </w:rPr>
  </w:style>
  <w:style w:type="paragraph" w:styleId="Naslov">
    <w:name w:val="Title"/>
    <w:basedOn w:val="Normal"/>
    <w:next w:val="Normal"/>
    <w:link w:val="NaslovChar"/>
    <w:uiPriority w:val="10"/>
    <w:qFormat/>
    <w:rsid w:val="0047501B"/>
    <w:pPr>
      <w:spacing w:after="300"/>
      <w:contextualSpacing/>
      <w:jc w:val="center"/>
    </w:pPr>
    <w:rPr>
      <w:rFonts w:ascii="Calibri" w:eastAsiaTheme="majorEastAsia" w:hAnsi="Calibri" w:cstheme="majorBidi"/>
      <w:b/>
      <w:color w:val="000000" w:themeColor="text1"/>
      <w:spacing w:val="5"/>
      <w:kern w:val="28"/>
      <w:sz w:val="32"/>
      <w:szCs w:val="52"/>
    </w:rPr>
  </w:style>
  <w:style w:type="character" w:customStyle="1" w:styleId="NaslovChar">
    <w:name w:val="Naslov Char"/>
    <w:basedOn w:val="Zadanifontodlomka"/>
    <w:link w:val="Naslov"/>
    <w:uiPriority w:val="10"/>
    <w:rsid w:val="0047501B"/>
    <w:rPr>
      <w:rFonts w:ascii="Calibri" w:eastAsiaTheme="majorEastAsia" w:hAnsi="Calibri" w:cstheme="majorBidi"/>
      <w:b/>
      <w:color w:val="000000" w:themeColor="text1"/>
      <w:spacing w:val="5"/>
      <w:kern w:val="28"/>
      <w:sz w:val="32"/>
      <w:szCs w:val="52"/>
    </w:rPr>
  </w:style>
  <w:style w:type="paragraph" w:customStyle="1" w:styleId="Footer1">
    <w:name w:val="Footer1"/>
    <w:basedOn w:val="Podnoje"/>
    <w:link w:val="Footer1Char"/>
    <w:qFormat/>
    <w:rsid w:val="0047501B"/>
    <w:pPr>
      <w:pBdr>
        <w:bottom w:val="single" w:sz="8" w:space="1" w:color="ED7D31" w:themeColor="accent2"/>
      </w:pBdr>
      <w:ind w:left="851"/>
    </w:pPr>
    <w:rPr>
      <w:rFonts w:ascii="Calibri" w:hAnsi="Calibri"/>
      <w:color w:val="66656A"/>
      <w:sz w:val="24"/>
    </w:rPr>
  </w:style>
  <w:style w:type="paragraph" w:customStyle="1" w:styleId="Istaknuto1">
    <w:name w:val="Istaknuto1"/>
    <w:basedOn w:val="Normal"/>
    <w:link w:val="IstaknutoChar"/>
    <w:qFormat/>
    <w:rsid w:val="0047501B"/>
    <w:pPr>
      <w:autoSpaceDE w:val="0"/>
      <w:autoSpaceDN w:val="0"/>
      <w:adjustRightInd w:val="0"/>
      <w:jc w:val="center"/>
    </w:pPr>
    <w:rPr>
      <w:rFonts w:ascii="Calibri" w:hAnsi="Calibri" w:cs="Times New Roman"/>
      <w:b/>
      <w:bCs/>
      <w:color w:val="000000"/>
      <w:sz w:val="22"/>
      <w:szCs w:val="24"/>
    </w:rPr>
  </w:style>
  <w:style w:type="character" w:customStyle="1" w:styleId="Footer1Char">
    <w:name w:val="Footer1 Char"/>
    <w:basedOn w:val="PodnojeChar"/>
    <w:link w:val="Footer1"/>
    <w:rsid w:val="0047501B"/>
    <w:rPr>
      <w:rFonts w:ascii="Calibri" w:hAnsi="Calibri"/>
      <w:color w:val="66656A"/>
      <w:sz w:val="24"/>
    </w:rPr>
  </w:style>
  <w:style w:type="character" w:customStyle="1" w:styleId="IstaknutoChar">
    <w:name w:val="Istaknuto Char"/>
    <w:basedOn w:val="Zadanifontodlomka"/>
    <w:link w:val="Istaknuto1"/>
    <w:rsid w:val="0047501B"/>
    <w:rPr>
      <w:rFonts w:ascii="Calibri" w:hAnsi="Calibri" w:cs="Times New Roman"/>
      <w:b/>
      <w:bCs/>
      <w:color w:val="000000"/>
      <w:szCs w:val="24"/>
    </w:rPr>
  </w:style>
  <w:style w:type="paragraph" w:styleId="Tekstfusnote">
    <w:name w:val="footnote text"/>
    <w:basedOn w:val="Normal"/>
    <w:link w:val="TekstfusnoteChar"/>
    <w:uiPriority w:val="99"/>
    <w:unhideWhenUsed/>
    <w:rsid w:val="0047501B"/>
    <w:pPr>
      <w:spacing w:after="0"/>
    </w:pPr>
    <w:rPr>
      <w:szCs w:val="20"/>
    </w:rPr>
  </w:style>
  <w:style w:type="character" w:customStyle="1" w:styleId="TekstfusnoteChar">
    <w:name w:val="Tekst fusnote Char"/>
    <w:basedOn w:val="Zadanifontodlomka"/>
    <w:link w:val="Tekstfusnote"/>
    <w:uiPriority w:val="99"/>
    <w:rsid w:val="0047501B"/>
    <w:rPr>
      <w:sz w:val="20"/>
      <w:szCs w:val="20"/>
    </w:rPr>
  </w:style>
  <w:style w:type="character" w:styleId="Referencafusnote">
    <w:name w:val="footnote reference"/>
    <w:basedOn w:val="Zadanifontodlomka"/>
    <w:uiPriority w:val="99"/>
    <w:unhideWhenUsed/>
    <w:rsid w:val="0047501B"/>
    <w:rPr>
      <w:vertAlign w:val="superscript"/>
    </w:rPr>
  </w:style>
  <w:style w:type="character" w:customStyle="1" w:styleId="OdlomakpopisaChar">
    <w:name w:val="Odlomak popisa Char"/>
    <w:basedOn w:val="Zadanifontodlomka"/>
    <w:link w:val="Odlomakpopisa"/>
    <w:uiPriority w:val="34"/>
    <w:rsid w:val="0047501B"/>
  </w:style>
  <w:style w:type="character" w:styleId="Brojstranice">
    <w:name w:val="page number"/>
    <w:basedOn w:val="Zadanifontodlomka"/>
    <w:rsid w:val="0047501B"/>
  </w:style>
  <w:style w:type="paragraph" w:customStyle="1" w:styleId="pagenum">
    <w:name w:val="page num"/>
    <w:basedOn w:val="Podnoje"/>
    <w:link w:val="pagenumChar"/>
    <w:qFormat/>
    <w:rsid w:val="0047501B"/>
    <w:pPr>
      <w:pBdr>
        <w:bottom w:val="single" w:sz="4" w:space="1" w:color="ED7D31" w:themeColor="accent2"/>
      </w:pBdr>
      <w:jc w:val="right"/>
    </w:pPr>
    <w:rPr>
      <w:b/>
      <w:color w:val="A6A6A6" w:themeColor="background1" w:themeShade="A6"/>
    </w:rPr>
  </w:style>
  <w:style w:type="character" w:customStyle="1" w:styleId="pagenumChar">
    <w:name w:val="page num Char"/>
    <w:basedOn w:val="PodnojeChar"/>
    <w:link w:val="pagenum"/>
    <w:rsid w:val="0047501B"/>
    <w:rPr>
      <w:b/>
      <w:color w:val="A6A6A6" w:themeColor="background1" w:themeShade="A6"/>
      <w:sz w:val="20"/>
    </w:rPr>
  </w:style>
  <w:style w:type="paragraph" w:styleId="Tekstbalonia">
    <w:name w:val="Balloon Text"/>
    <w:basedOn w:val="Normal"/>
    <w:link w:val="TekstbaloniaChar"/>
    <w:uiPriority w:val="99"/>
    <w:semiHidden/>
    <w:unhideWhenUsed/>
    <w:rsid w:val="00744D8A"/>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4D8A"/>
    <w:rPr>
      <w:rFonts w:ascii="Segoe UI" w:hAnsi="Segoe UI" w:cs="Segoe UI"/>
      <w:sz w:val="18"/>
      <w:szCs w:val="18"/>
    </w:rPr>
  </w:style>
  <w:style w:type="paragraph" w:styleId="Zaglavlje">
    <w:name w:val="header"/>
    <w:basedOn w:val="Normal"/>
    <w:link w:val="ZaglavljeChar"/>
    <w:uiPriority w:val="99"/>
    <w:unhideWhenUsed/>
    <w:rsid w:val="00C777B8"/>
    <w:pPr>
      <w:tabs>
        <w:tab w:val="center" w:pos="4536"/>
        <w:tab w:val="right" w:pos="9072"/>
      </w:tabs>
      <w:spacing w:after="0"/>
    </w:pPr>
  </w:style>
  <w:style w:type="character" w:customStyle="1" w:styleId="ZaglavljeChar">
    <w:name w:val="Zaglavlje Char"/>
    <w:basedOn w:val="Zadanifontodlomka"/>
    <w:link w:val="Zaglavlje"/>
    <w:uiPriority w:val="99"/>
    <w:rsid w:val="00C777B8"/>
    <w:rPr>
      <w:sz w:val="20"/>
    </w:rPr>
  </w:style>
  <w:style w:type="character" w:styleId="Referencakomentara">
    <w:name w:val="annotation reference"/>
    <w:basedOn w:val="Zadanifontodlomka"/>
    <w:uiPriority w:val="99"/>
    <w:semiHidden/>
    <w:unhideWhenUsed/>
    <w:rsid w:val="00461751"/>
    <w:rPr>
      <w:sz w:val="16"/>
      <w:szCs w:val="16"/>
    </w:rPr>
  </w:style>
  <w:style w:type="paragraph" w:styleId="Tekstkomentara">
    <w:name w:val="annotation text"/>
    <w:basedOn w:val="Normal"/>
    <w:link w:val="TekstkomentaraChar"/>
    <w:uiPriority w:val="99"/>
    <w:semiHidden/>
    <w:unhideWhenUsed/>
    <w:rsid w:val="00461751"/>
    <w:rPr>
      <w:szCs w:val="20"/>
    </w:rPr>
  </w:style>
  <w:style w:type="character" w:customStyle="1" w:styleId="TekstkomentaraChar">
    <w:name w:val="Tekst komentara Char"/>
    <w:basedOn w:val="Zadanifontodlomka"/>
    <w:link w:val="Tekstkomentara"/>
    <w:uiPriority w:val="99"/>
    <w:semiHidden/>
    <w:rsid w:val="00461751"/>
    <w:rPr>
      <w:sz w:val="20"/>
      <w:szCs w:val="20"/>
    </w:rPr>
  </w:style>
  <w:style w:type="paragraph" w:styleId="Predmetkomentara">
    <w:name w:val="annotation subject"/>
    <w:basedOn w:val="Tekstkomentara"/>
    <w:next w:val="Tekstkomentara"/>
    <w:link w:val="PredmetkomentaraChar"/>
    <w:uiPriority w:val="99"/>
    <w:semiHidden/>
    <w:unhideWhenUsed/>
    <w:rsid w:val="00461751"/>
    <w:rPr>
      <w:b/>
      <w:bCs/>
    </w:rPr>
  </w:style>
  <w:style w:type="character" w:customStyle="1" w:styleId="PredmetkomentaraChar">
    <w:name w:val="Predmet komentara Char"/>
    <w:basedOn w:val="TekstkomentaraChar"/>
    <w:link w:val="Predmetkomentara"/>
    <w:uiPriority w:val="99"/>
    <w:semiHidden/>
    <w:rsid w:val="00461751"/>
    <w:rPr>
      <w:b/>
      <w:bCs/>
      <w:sz w:val="20"/>
      <w:szCs w:val="20"/>
    </w:rPr>
  </w:style>
  <w:style w:type="paragraph" w:styleId="Revizija">
    <w:name w:val="Revision"/>
    <w:hidden/>
    <w:uiPriority w:val="99"/>
    <w:semiHidden/>
    <w:rsid w:val="00FA099F"/>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493AC-C2BC-413A-B305-94A6E5B2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6778</Characters>
  <Application>Microsoft Office Word</Application>
  <DocSecurity>4</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Jović Božena</dc:creator>
  <cp:keywords/>
  <dc:description/>
  <cp:lastModifiedBy>Kožul Žaklina</cp:lastModifiedBy>
  <cp:revision>2</cp:revision>
  <cp:lastPrinted>2018-11-14T11:52:00Z</cp:lastPrinted>
  <dcterms:created xsi:type="dcterms:W3CDTF">2024-09-23T13:23:00Z</dcterms:created>
  <dcterms:modified xsi:type="dcterms:W3CDTF">2024-09-23T13:23:00Z</dcterms:modified>
</cp:coreProperties>
</file>